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rul5x0f03f9e" w:id="0"/>
      <w:bookmarkEnd w:id="0"/>
      <w:r w:rsidDel="00000000" w:rsidR="00000000" w:rsidRPr="00000000">
        <w:rPr>
          <w:rtl w:val="0"/>
        </w:rPr>
        <w:t xml:space="preserve">9 </w:t>
      </w:r>
      <w:r w:rsidDel="00000000" w:rsidR="00000000" w:rsidRPr="00000000">
        <w:rPr>
          <w:color w:val="cc2909"/>
          <w:rtl w:val="0"/>
        </w:rPr>
        <w:t xml:space="preserve">|</w:t>
      </w:r>
      <w:r w:rsidDel="00000000" w:rsidR="00000000" w:rsidRPr="00000000">
        <w:rPr>
          <w:rtl w:val="0"/>
        </w:rPr>
        <w:t xml:space="preserve"> 2 </w:t>
      </w:r>
      <w:r w:rsidDel="00000000" w:rsidR="00000000" w:rsidRPr="00000000">
        <w:rPr>
          <w:color w:val="cc2909"/>
          <w:rtl w:val="0"/>
        </w:rPr>
        <w:t xml:space="preserve">|</w:t>
      </w:r>
      <w:r w:rsidDel="00000000" w:rsidR="00000000" w:rsidRPr="00000000">
        <w:rPr>
          <w:rtl w:val="0"/>
        </w:rPr>
        <w:t xml:space="preserve"> Lekcija 2: Životopis</w:t>
      </w:r>
    </w:p>
    <w:p w:rsidR="00000000" w:rsidDel="00000000" w:rsidP="00000000" w:rsidRDefault="00000000" w:rsidRPr="00000000" w14:paraId="00000002">
      <w:pPr>
        <w:pStyle w:val="Heading1"/>
        <w:rPr/>
      </w:pPr>
      <w:bookmarkStart w:colFirst="0" w:colLast="0" w:name="_u4nuole975dq" w:id="1"/>
      <w:bookmarkEnd w:id="1"/>
      <w:r w:rsidDel="00000000" w:rsidR="00000000" w:rsidRPr="00000000">
        <w:rPr>
          <w:color w:val="cc2909"/>
          <w:rtl w:val="0"/>
        </w:rPr>
        <w:t xml:space="preserve">|</w:t>
      </w:r>
      <w:r w:rsidDel="00000000" w:rsidR="00000000" w:rsidRPr="00000000">
        <w:rPr>
          <w:rtl w:val="0"/>
        </w:rPr>
        <w:t xml:space="preserve"> The Verbs PISATI and NAPISATI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The verb </w:t>
      </w:r>
      <w:r w:rsidDel="00000000" w:rsidR="00000000" w:rsidRPr="00000000">
        <w:rPr>
          <w:i w:val="1"/>
          <w:rtl w:val="0"/>
        </w:rPr>
        <w:t xml:space="preserve">pisati</w:t>
      </w:r>
      <w:r w:rsidDel="00000000" w:rsidR="00000000" w:rsidRPr="00000000">
        <w:rPr>
          <w:rtl w:val="0"/>
        </w:rPr>
        <w:t xml:space="preserve"> (to write) changes its form a little bit when we conjugate the verb. Look at the table. </w:t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60"/>
        <w:gridCol w:w="1185"/>
        <w:gridCol w:w="1455"/>
        <w:gridCol w:w="1320"/>
        <w:gridCol w:w="1395"/>
        <w:gridCol w:w="2445"/>
        <w:tblGridChange w:id="0">
          <w:tblGrid>
            <w:gridCol w:w="1560"/>
            <w:gridCol w:w="1185"/>
            <w:gridCol w:w="1455"/>
            <w:gridCol w:w="1320"/>
            <w:gridCol w:w="1395"/>
            <w:gridCol w:w="2445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6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5d8ea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line="240" w:lineRule="auto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PISATI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"/>
            <w:tcBorders>
              <w:top w:color="ffffff" w:space="0" w:sz="8" w:val="single"/>
              <w:left w:color="ffffff" w:space="0" w:sz="8" w:val="single"/>
              <w:bottom w:color="000000" w:space="0" w:sz="0" w:val="nil"/>
              <w:right w:color="ffffff" w:space="0" w:sz="8" w:val="single"/>
            </w:tcBorders>
            <w:shd w:fill="5d8ea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line="240" w:lineRule="auto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SINGULAR</w:t>
            </w:r>
          </w:p>
        </w:tc>
        <w:tc>
          <w:tcPr>
            <w:gridSpan w:val="3"/>
            <w:tcBorders>
              <w:top w:color="ffffff" w:space="0" w:sz="8" w:val="single"/>
              <w:left w:color="ffffff" w:space="0" w:sz="18" w:val="single"/>
              <w:bottom w:color="000000" w:space="0" w:sz="0" w:val="nil"/>
              <w:right w:color="ffffff" w:space="0" w:sz="8" w:val="single"/>
            </w:tcBorders>
            <w:shd w:fill="5d8ea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line="240" w:lineRule="auto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PLURAL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spacing w:line="240" w:lineRule="auto"/>
              <w:rPr/>
            </w:pPr>
            <w:hyperlink r:id="rId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(audio)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ja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dott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pi-</w:t>
            </w:r>
            <w:r w:rsidDel="00000000" w:rsidR="00000000" w:rsidRPr="00000000">
              <w:rPr>
                <w:b w:val="1"/>
                <w:color w:val="ff0000"/>
                <w:rtl w:val="0"/>
              </w:rPr>
              <w:t xml:space="preserve">š</w:t>
            </w:r>
            <w:r w:rsidDel="00000000" w:rsidR="00000000" w:rsidRPr="00000000">
              <w:rPr>
                <w:rtl w:val="0"/>
              </w:rPr>
              <w:t xml:space="preserve">-em</w:t>
            </w:r>
          </w:p>
        </w:tc>
        <w:tc>
          <w:tcPr>
            <w:tcBorders>
              <w:top w:color="000000" w:space="0" w:sz="0" w:val="nil"/>
              <w:left w:color="000000" w:space="0" w:sz="4" w:val="dotted"/>
              <w:bottom w:color="000000" w:space="0" w:sz="4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line="240" w:lineRule="auto"/>
              <w:rPr/>
            </w:pPr>
            <w:hyperlink r:id="rId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(audio)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mi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pi-</w:t>
            </w:r>
            <w:r w:rsidDel="00000000" w:rsidR="00000000" w:rsidRPr="00000000">
              <w:rPr>
                <w:b w:val="1"/>
                <w:color w:val="ff0000"/>
                <w:rtl w:val="0"/>
              </w:rPr>
              <w:t xml:space="preserve">š</w:t>
            </w:r>
            <w:r w:rsidDel="00000000" w:rsidR="00000000" w:rsidRPr="00000000">
              <w:rPr>
                <w:rtl w:val="0"/>
              </w:rPr>
              <w:t xml:space="preserve">-emo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line="240" w:lineRule="auto"/>
              <w:rPr/>
            </w:pPr>
            <w:hyperlink r:id="rId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(audio)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ti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dott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pi-</w:t>
            </w:r>
            <w:r w:rsidDel="00000000" w:rsidR="00000000" w:rsidRPr="00000000">
              <w:rPr>
                <w:b w:val="1"/>
                <w:color w:val="ff0000"/>
                <w:rtl w:val="0"/>
              </w:rPr>
              <w:t xml:space="preserve">š</w:t>
            </w:r>
            <w:r w:rsidDel="00000000" w:rsidR="00000000" w:rsidRPr="00000000">
              <w:rPr>
                <w:rtl w:val="0"/>
              </w:rPr>
              <w:t xml:space="preserve">-eš</w:t>
            </w:r>
          </w:p>
        </w:tc>
        <w:tc>
          <w:tcPr>
            <w:tcBorders>
              <w:top w:color="000000" w:space="0" w:sz="0" w:val="nil"/>
              <w:left w:color="000000" w:space="0" w:sz="4" w:val="dotted"/>
              <w:bottom w:color="000000" w:space="0" w:sz="4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line="240" w:lineRule="auto"/>
              <w:rPr/>
            </w:pPr>
            <w:hyperlink r:id="rId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(audio)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vi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pi-</w:t>
            </w:r>
            <w:r w:rsidDel="00000000" w:rsidR="00000000" w:rsidRPr="00000000">
              <w:rPr>
                <w:b w:val="1"/>
                <w:color w:val="ff0000"/>
                <w:rtl w:val="0"/>
              </w:rPr>
              <w:t xml:space="preserve">š</w:t>
            </w:r>
            <w:r w:rsidDel="00000000" w:rsidR="00000000" w:rsidRPr="00000000">
              <w:rPr>
                <w:rtl w:val="0"/>
              </w:rPr>
              <w:t xml:space="preserve">-ete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line="240" w:lineRule="auto"/>
              <w:rPr/>
            </w:pPr>
            <w:hyperlink r:id="rId10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(audio)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on/-a/-o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dott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pi-</w:t>
            </w:r>
            <w:r w:rsidDel="00000000" w:rsidR="00000000" w:rsidRPr="00000000">
              <w:rPr>
                <w:b w:val="1"/>
                <w:color w:val="ff0000"/>
                <w:rtl w:val="0"/>
              </w:rPr>
              <w:t xml:space="preserve">š</w:t>
            </w:r>
            <w:r w:rsidDel="00000000" w:rsidR="00000000" w:rsidRPr="00000000">
              <w:rPr>
                <w:rtl w:val="0"/>
              </w:rPr>
              <w:t xml:space="preserve">-e</w:t>
            </w:r>
          </w:p>
        </w:tc>
        <w:tc>
          <w:tcPr>
            <w:tcBorders>
              <w:top w:color="000000" w:space="0" w:sz="0" w:val="nil"/>
              <w:left w:color="000000" w:space="0" w:sz="4" w:val="dotted"/>
              <w:bottom w:color="000000" w:space="0" w:sz="4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line="240" w:lineRule="auto"/>
              <w:rPr/>
            </w:pPr>
            <w:hyperlink r:id="rId11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(audio)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oni/-e/-a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pi-</w:t>
            </w:r>
            <w:r w:rsidDel="00000000" w:rsidR="00000000" w:rsidRPr="00000000">
              <w:rPr>
                <w:b w:val="1"/>
                <w:color w:val="ff0000"/>
                <w:rtl w:val="0"/>
              </w:rPr>
              <w:t xml:space="preserve">š</w:t>
            </w:r>
            <w:r w:rsidDel="00000000" w:rsidR="00000000" w:rsidRPr="00000000">
              <w:rPr>
                <w:rtl w:val="0"/>
              </w:rPr>
              <w:t xml:space="preserve">-u</w:t>
            </w:r>
          </w:p>
        </w:tc>
      </w:tr>
    </w:tbl>
    <w:p w:rsidR="00000000" w:rsidDel="00000000" w:rsidP="00000000" w:rsidRDefault="00000000" w:rsidRPr="00000000" w14:paraId="00000022">
      <w:pPr>
        <w:pStyle w:val="Heading3"/>
        <w:rPr/>
      </w:pPr>
      <w:bookmarkStart w:colFirst="0" w:colLast="0" w:name="_ojj6ak5625yd" w:id="2"/>
      <w:bookmarkEnd w:id="2"/>
      <w:r w:rsidDel="00000000" w:rsidR="00000000" w:rsidRPr="00000000">
        <w:rPr>
          <w:rtl w:val="0"/>
        </w:rPr>
        <w:t xml:space="preserve">Pisati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When we use the verb </w:t>
      </w:r>
      <w:r w:rsidDel="00000000" w:rsidR="00000000" w:rsidRPr="00000000">
        <w:rPr>
          <w:i w:val="1"/>
          <w:rtl w:val="0"/>
        </w:rPr>
        <w:t xml:space="preserve">pisati</w:t>
      </w:r>
      <w:r w:rsidDel="00000000" w:rsidR="00000000" w:rsidRPr="00000000">
        <w:rPr>
          <w:rtl w:val="0"/>
        </w:rPr>
        <w:t xml:space="preserve"> in the past tense, the form is regular, with no changes. For example: </w:t>
      </w:r>
      <w:r w:rsidDel="00000000" w:rsidR="00000000" w:rsidRPr="00000000">
        <w:rPr>
          <w:i w:val="1"/>
          <w:rtl w:val="0"/>
        </w:rPr>
        <w:t xml:space="preserve">Mario je pisao email. Sandra je pisala e-mail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24">
      <w:pPr>
        <w:pStyle w:val="Heading3"/>
        <w:rPr/>
      </w:pPr>
      <w:bookmarkStart w:colFirst="0" w:colLast="0" w:name="_ayhedjda9bpy" w:id="3"/>
      <w:bookmarkEnd w:id="3"/>
      <w:r w:rsidDel="00000000" w:rsidR="00000000" w:rsidRPr="00000000">
        <w:rPr>
          <w:rtl w:val="0"/>
        </w:rPr>
        <w:t xml:space="preserve">Napisati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The verb </w:t>
      </w:r>
      <w:r w:rsidDel="00000000" w:rsidR="00000000" w:rsidRPr="00000000">
        <w:rPr>
          <w:i w:val="1"/>
          <w:rtl w:val="0"/>
        </w:rPr>
        <w:t xml:space="preserve">pisati</w:t>
      </w:r>
      <w:r w:rsidDel="00000000" w:rsidR="00000000" w:rsidRPr="00000000">
        <w:rPr>
          <w:rtl w:val="0"/>
        </w:rPr>
        <w:t xml:space="preserve"> (imperfective form – ongoing, repetitive action) has its perfective aspectual pair. The verb </w:t>
      </w:r>
      <w:r w:rsidDel="00000000" w:rsidR="00000000" w:rsidRPr="00000000">
        <w:rPr>
          <w:i w:val="1"/>
          <w:rtl w:val="0"/>
        </w:rPr>
        <w:t xml:space="preserve">napisati</w:t>
      </w:r>
      <w:r w:rsidDel="00000000" w:rsidR="00000000" w:rsidRPr="00000000">
        <w:rPr>
          <w:rtl w:val="0"/>
        </w:rPr>
        <w:t xml:space="preserve"> is the perfective form (completed, one-time action) also with the meaning of to write. Look at the following sentences to understand the differences better.</w:t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5d8ea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line="240" w:lineRule="auto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Imperfective: repetitive, ongoing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5d8ea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line="240" w:lineRule="auto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Perfective form: one-time, completed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dotted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Mario je pisao email cijeli dan. </w:t>
            </w:r>
          </w:p>
        </w:tc>
        <w:tc>
          <w:tcPr>
            <w:tcBorders>
              <w:top w:color="000000" w:space="0" w:sz="0" w:val="nil"/>
              <w:left w:color="000000" w:space="0" w:sz="4" w:val="dotted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Jesi li napisala CV? – Da! Jesam. Napokon.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dotted"/>
              <w:right w:color="000000" w:space="0" w:sz="4" w:val="dotted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Mario was writing an email the entire day.</w:t>
            </w:r>
          </w:p>
        </w:tc>
        <w:tc>
          <w:tcPr>
            <w:tcBorders>
              <w:top w:color="000000" w:space="0" w:sz="0" w:val="nil"/>
              <w:left w:color="000000" w:space="0" w:sz="4" w:val="dotted"/>
              <w:bottom w:color="000000" w:space="0" w:sz="4" w:val="dotted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Did you finish writing your CV? Yes! I did. </w:t>
            </w:r>
            <w:r w:rsidDel="00000000" w:rsidR="00000000" w:rsidRPr="00000000">
              <w:rPr>
                <w:rtl w:val="0"/>
              </w:rPr>
              <w:t xml:space="preserve">Finally.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otted"/>
              <w:left w:color="000000" w:space="0" w:sz="0" w:val="nil"/>
              <w:bottom w:color="000000" w:space="0" w:sz="0" w:val="nil"/>
              <w:right w:color="000000" w:space="0" w:sz="4" w:val="dott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Sandra je pisala CV satima.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0" w:val="nil"/>
              <w:right w:color="000000" w:space="0" w:sz="0" w:val="nil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Kad napišem e-email, idem kod Matije.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dotted"/>
              <w:right w:color="000000" w:space="0" w:sz="4" w:val="dott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Sandra was writing her CV for hours. </w:t>
            </w:r>
          </w:p>
        </w:tc>
        <w:tc>
          <w:tcPr>
            <w:tcBorders>
              <w:top w:color="000000" w:space="0" w:sz="0" w:val="nil"/>
              <w:left w:color="000000" w:space="0" w:sz="4" w:val="dotted"/>
              <w:bottom w:color="000000" w:space="0" w:sz="4" w:val="dotted"/>
              <w:right w:color="000000" w:space="0" w:sz="0" w:val="nil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When I finish writing my email, I’ll go to see Matija. </w:t>
            </w:r>
          </w:p>
        </w:tc>
      </w:tr>
    </w:tbl>
    <w:p w:rsidR="00000000" w:rsidDel="00000000" w:rsidP="00000000" w:rsidRDefault="00000000" w:rsidRPr="00000000" w14:paraId="00000030">
      <w:pPr>
        <w:pStyle w:val="Heading1"/>
        <w:rPr/>
      </w:pPr>
      <w:bookmarkStart w:colFirst="0" w:colLast="0" w:name="_stkrnuvhcaa" w:id="4"/>
      <w:bookmarkEnd w:id="4"/>
      <w:r w:rsidDel="00000000" w:rsidR="00000000" w:rsidRPr="00000000">
        <w:rPr>
          <w:color w:val="cc2909"/>
          <w:rtl w:val="0"/>
        </w:rPr>
        <w:t xml:space="preserve">|</w:t>
      </w:r>
      <w:r w:rsidDel="00000000" w:rsidR="00000000" w:rsidRPr="00000000">
        <w:rPr>
          <w:rtl w:val="0"/>
        </w:rPr>
        <w:t xml:space="preserve"> The Verbs SLATI and POSLATI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The verb </w:t>
      </w:r>
      <w:r w:rsidDel="00000000" w:rsidR="00000000" w:rsidRPr="00000000">
        <w:rPr>
          <w:i w:val="1"/>
          <w:rtl w:val="0"/>
        </w:rPr>
        <w:t xml:space="preserve">slati</w:t>
      </w:r>
      <w:r w:rsidDel="00000000" w:rsidR="00000000" w:rsidRPr="00000000">
        <w:rPr>
          <w:rtl w:val="0"/>
        </w:rPr>
        <w:t xml:space="preserve"> (to send) changes its form a little bit when we conjugate it. Look at the table. </w:t>
      </w:r>
    </w:p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60"/>
        <w:gridCol w:w="1185"/>
        <w:gridCol w:w="1455"/>
        <w:gridCol w:w="1320"/>
        <w:gridCol w:w="1395"/>
        <w:gridCol w:w="2445"/>
        <w:tblGridChange w:id="0">
          <w:tblGrid>
            <w:gridCol w:w="1560"/>
            <w:gridCol w:w="1185"/>
            <w:gridCol w:w="1455"/>
            <w:gridCol w:w="1320"/>
            <w:gridCol w:w="1395"/>
            <w:gridCol w:w="2445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6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5d8ea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line="240" w:lineRule="auto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SLATI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"/>
            <w:tcBorders>
              <w:top w:color="ffffff" w:space="0" w:sz="8" w:val="single"/>
              <w:left w:color="ffffff" w:space="0" w:sz="8" w:val="single"/>
              <w:bottom w:color="000000" w:space="0" w:sz="0" w:val="nil"/>
              <w:right w:color="ffffff" w:space="0" w:sz="8" w:val="single"/>
            </w:tcBorders>
            <w:shd w:fill="5d8ea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line="240" w:lineRule="auto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SINGULAR</w:t>
            </w:r>
          </w:p>
        </w:tc>
        <w:tc>
          <w:tcPr>
            <w:gridSpan w:val="3"/>
            <w:tcBorders>
              <w:top w:color="ffffff" w:space="0" w:sz="8" w:val="single"/>
              <w:left w:color="ffffff" w:space="0" w:sz="18" w:val="single"/>
              <w:bottom w:color="000000" w:space="0" w:sz="0" w:val="nil"/>
              <w:right w:color="ffffff" w:space="0" w:sz="8" w:val="single"/>
            </w:tcBorders>
            <w:shd w:fill="5d8ea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line="240" w:lineRule="auto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PLURAL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spacing w:line="240" w:lineRule="auto"/>
              <w:rPr/>
            </w:pPr>
            <w:hyperlink r:id="rId12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(audio)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ja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dott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ša-lj-em</w:t>
            </w:r>
          </w:p>
        </w:tc>
        <w:tc>
          <w:tcPr>
            <w:tcBorders>
              <w:top w:color="000000" w:space="0" w:sz="0" w:val="nil"/>
              <w:left w:color="000000" w:space="0" w:sz="4" w:val="dotted"/>
              <w:bottom w:color="000000" w:space="0" w:sz="4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spacing w:line="240" w:lineRule="auto"/>
              <w:rPr/>
            </w:pPr>
            <w:hyperlink r:id="rId13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(audio)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mi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ša-lj-emo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spacing w:line="240" w:lineRule="auto"/>
              <w:rPr/>
            </w:pPr>
            <w:hyperlink r:id="rId14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(audio)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ti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dott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ša-lj-eš</w:t>
            </w:r>
          </w:p>
        </w:tc>
        <w:tc>
          <w:tcPr>
            <w:tcBorders>
              <w:top w:color="000000" w:space="0" w:sz="0" w:val="nil"/>
              <w:left w:color="000000" w:space="0" w:sz="4" w:val="dotted"/>
              <w:bottom w:color="000000" w:space="0" w:sz="4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spacing w:line="240" w:lineRule="auto"/>
              <w:rPr/>
            </w:pPr>
            <w:hyperlink r:id="rId15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(audio)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vi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ša-lj-ete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spacing w:line="240" w:lineRule="auto"/>
              <w:rPr/>
            </w:pPr>
            <w:hyperlink r:id="rId1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(audio)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on/-a/-o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dott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ša-lj-e</w:t>
            </w:r>
          </w:p>
        </w:tc>
        <w:tc>
          <w:tcPr>
            <w:tcBorders>
              <w:top w:color="000000" w:space="0" w:sz="0" w:val="nil"/>
              <w:left w:color="000000" w:space="0" w:sz="4" w:val="dotted"/>
              <w:bottom w:color="000000" w:space="0" w:sz="4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spacing w:line="240" w:lineRule="auto"/>
              <w:rPr/>
            </w:pPr>
            <w:hyperlink r:id="rId1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(audio)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oni/-e/-a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ša-lj-u</w:t>
            </w:r>
          </w:p>
        </w:tc>
      </w:tr>
    </w:tbl>
    <w:p w:rsidR="00000000" w:rsidDel="00000000" w:rsidP="00000000" w:rsidRDefault="00000000" w:rsidRPr="00000000" w14:paraId="00000050">
      <w:pPr>
        <w:pStyle w:val="Heading3"/>
        <w:rPr/>
      </w:pPr>
      <w:bookmarkStart w:colFirst="0" w:colLast="0" w:name="_1ygc5husk9fa" w:id="5"/>
      <w:bookmarkEnd w:id="5"/>
      <w:r w:rsidDel="00000000" w:rsidR="00000000" w:rsidRPr="00000000">
        <w:rPr>
          <w:rtl w:val="0"/>
        </w:rPr>
        <w:t xml:space="preserve">Slati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  <w:t xml:space="preserve">When we use the verb </w:t>
      </w:r>
      <w:r w:rsidDel="00000000" w:rsidR="00000000" w:rsidRPr="00000000">
        <w:rPr>
          <w:i w:val="1"/>
          <w:rtl w:val="0"/>
        </w:rPr>
        <w:t xml:space="preserve">slati</w:t>
      </w:r>
      <w:r w:rsidDel="00000000" w:rsidR="00000000" w:rsidRPr="00000000">
        <w:rPr>
          <w:rtl w:val="0"/>
        </w:rPr>
        <w:t xml:space="preserve"> in the past Tense, the form is regular, with no changes. For example: </w:t>
      </w:r>
      <w:r w:rsidDel="00000000" w:rsidR="00000000" w:rsidRPr="00000000">
        <w:rPr>
          <w:i w:val="1"/>
          <w:rtl w:val="0"/>
        </w:rPr>
        <w:t xml:space="preserve">James je slao email e-mail roditeljima svaki tjedan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i w:val="1"/>
          <w:rtl w:val="0"/>
        </w:rPr>
        <w:t xml:space="preserve">Ines je slala e-mail prijateljici u Italiju svaki mjesec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52">
      <w:pPr>
        <w:pStyle w:val="Heading3"/>
        <w:rPr/>
      </w:pPr>
      <w:bookmarkStart w:colFirst="0" w:colLast="0" w:name="_41hcrfkmkkyy" w:id="6"/>
      <w:bookmarkEnd w:id="6"/>
      <w:r w:rsidDel="00000000" w:rsidR="00000000" w:rsidRPr="00000000">
        <w:rPr>
          <w:rtl w:val="0"/>
        </w:rPr>
        <w:t xml:space="preserve">Poslati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  <w:t xml:space="preserve">The verb </w:t>
      </w:r>
      <w:r w:rsidDel="00000000" w:rsidR="00000000" w:rsidRPr="00000000">
        <w:rPr>
          <w:i w:val="1"/>
          <w:rtl w:val="0"/>
        </w:rPr>
        <w:t xml:space="preserve">slati</w:t>
      </w:r>
      <w:r w:rsidDel="00000000" w:rsidR="00000000" w:rsidRPr="00000000">
        <w:rPr>
          <w:rtl w:val="0"/>
        </w:rPr>
        <w:t xml:space="preserve"> (imperfective form – ongoing, repetitive action) also has its perfective aspectual pair. The verb </w:t>
      </w:r>
      <w:r w:rsidDel="00000000" w:rsidR="00000000" w:rsidRPr="00000000">
        <w:rPr>
          <w:i w:val="1"/>
          <w:rtl w:val="0"/>
        </w:rPr>
        <w:t xml:space="preserve">poslati</w:t>
      </w:r>
      <w:r w:rsidDel="00000000" w:rsidR="00000000" w:rsidRPr="00000000">
        <w:rPr>
          <w:rtl w:val="0"/>
        </w:rPr>
        <w:t xml:space="preserve"> is the perfective form (completed, one-time action) also with the meaning of to send. Look at the following sentences to understand the differences better.</w:t>
      </w:r>
    </w:p>
    <w:tbl>
      <w:tblPr>
        <w:tblStyle w:val="Table4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5d8ea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line="240" w:lineRule="auto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Imperfective: repetitive, ongoing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5d8ea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line="240" w:lineRule="auto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Perfective form: one-time, completed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dotted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Mario, što radiš? – Šaljem e-mail profesoru?</w:t>
            </w:r>
          </w:p>
        </w:tc>
        <w:tc>
          <w:tcPr>
            <w:tcBorders>
              <w:top w:color="000000" w:space="0" w:sz="0" w:val="nil"/>
              <w:left w:color="000000" w:space="0" w:sz="4" w:val="dotted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Ines, jesi li poslala CV i molbu za posao?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dotted"/>
              <w:right w:color="000000" w:space="0" w:sz="4" w:val="dotted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Mario, what are you doing? – Sending an email to my professor. </w:t>
            </w:r>
          </w:p>
        </w:tc>
        <w:tc>
          <w:tcPr>
            <w:tcBorders>
              <w:top w:color="000000" w:space="0" w:sz="0" w:val="nil"/>
              <w:left w:color="000000" w:space="0" w:sz="4" w:val="dotted"/>
              <w:bottom w:color="000000" w:space="0" w:sz="4" w:val="dotted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Ines, did you send your CV and cover letter for the job?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otted"/>
              <w:left w:color="000000" w:space="0" w:sz="0" w:val="nil"/>
              <w:bottom w:color="000000" w:space="0" w:sz="0" w:val="nil"/>
              <w:right w:color="000000" w:space="0" w:sz="4" w:val="dott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Kako su tvoji roditelji? Pričate li često? – Rijetko pričamo, često im šaljem e-mail.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0" w:val="nil"/>
              <w:right w:color="000000" w:space="0" w:sz="0" w:val="nil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James planira večeras poslati e-mail roditeljima.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dotted"/>
              <w:right w:color="000000" w:space="0" w:sz="4" w:val="dott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How are your parents? Do you talk often? – Rarely we talk, mostly I’m sending them an email. </w:t>
            </w:r>
          </w:p>
        </w:tc>
        <w:tc>
          <w:tcPr>
            <w:tcBorders>
              <w:top w:color="000000" w:space="0" w:sz="0" w:val="nil"/>
              <w:left w:color="000000" w:space="0" w:sz="4" w:val="dotted"/>
              <w:bottom w:color="000000" w:space="0" w:sz="4" w:val="dotted"/>
              <w:right w:color="000000" w:space="0" w:sz="0" w:val="nil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James is planning to send an email to his parents tonight. </w:t>
            </w:r>
          </w:p>
        </w:tc>
      </w:tr>
    </w:tbl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  <w:t xml:space="preserve">Images used in this document are from </w:t>
      </w:r>
      <w:hyperlink r:id="rId18">
        <w:r w:rsidDel="00000000" w:rsidR="00000000" w:rsidRPr="00000000">
          <w:rPr>
            <w:color w:val="1155cc"/>
            <w:u w:val="single"/>
            <w:rtl w:val="0"/>
          </w:rPr>
          <w:t xml:space="preserve">these sources</w:t>
        </w:r>
      </w:hyperlink>
      <w:r w:rsidDel="00000000" w:rsidR="00000000" w:rsidRPr="00000000">
        <w:rPr>
          <w:rtl w:val="0"/>
        </w:rPr>
        <w:t xml:space="preserve">. </w:t>
      </w:r>
    </w:p>
    <w:sectPr>
      <w:headerReference r:id="rId19" w:type="default"/>
      <w:footerReference r:id="rId20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0">
    <w:pPr>
      <w:rPr/>
    </w:pPr>
    <w:r w:rsidDel="00000000" w:rsidR="00000000" w:rsidRPr="00000000">
      <w:rPr/>
      <w:drawing>
        <wp:inline distB="114300" distT="114300" distL="114300" distR="114300">
          <wp:extent cx="941832" cy="329641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41832" cy="32964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/>
      <w:drawing>
        <wp:inline distB="114300" distT="114300" distL="114300" distR="114300">
          <wp:extent cx="329184" cy="329184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10737" l="10737" r="10737" t="10737"/>
                  <a:stretch>
                    <a:fillRect/>
                  </a:stretch>
                </pic:blipFill>
                <pic:spPr>
                  <a:xfrm>
                    <a:off x="0" y="0"/>
                    <a:ext cx="329184" cy="32918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1">
    <w:pPr>
      <w:jc w:val="right"/>
      <w:rPr>
        <w:b w:val="1"/>
        <w:sz w:val="24"/>
        <w:szCs w:val="24"/>
      </w:rPr>
    </w:pPr>
    <w:r w:rsidDel="00000000" w:rsidR="00000000" w:rsidRPr="00000000">
      <w:rPr>
        <w:b w:val="1"/>
        <w:sz w:val="28"/>
        <w:szCs w:val="28"/>
        <w:rtl w:val="0"/>
      </w:rPr>
      <w:t xml:space="preserve">9 |</w:t>
    </w:r>
    <w:r w:rsidDel="00000000" w:rsidR="00000000" w:rsidRPr="00000000">
      <w:rPr>
        <w:b w:val="1"/>
        <w:sz w:val="24"/>
        <w:szCs w:val="24"/>
        <w:rtl w:val="0"/>
      </w:rPr>
      <w:t xml:space="preserve"> Modul 2: Gramatika</w:t>
    </w:r>
  </w:p>
  <w:p w:rsidR="00000000" w:rsidDel="00000000" w:rsidP="00000000" w:rsidRDefault="00000000" w:rsidRPr="00000000" w14:paraId="00000062">
    <w:pPr>
      <w:jc w:val="right"/>
      <w:rPr>
        <w:i w:val="1"/>
        <w:sz w:val="24"/>
        <w:szCs w:val="24"/>
      </w:rPr>
    </w:pPr>
    <w:r w:rsidDel="00000000" w:rsidR="00000000" w:rsidRPr="00000000">
      <w:rPr>
        <w:i w:val="1"/>
        <w:sz w:val="24"/>
        <w:szCs w:val="24"/>
        <w:rtl w:val="0"/>
      </w:rPr>
      <w:t xml:space="preserve">Karijera</w:t>
    </w:r>
  </w:p>
  <w:p w:rsidR="00000000" w:rsidDel="00000000" w:rsidP="00000000" w:rsidRDefault="00000000" w:rsidRPr="00000000" w14:paraId="00000063">
    <w:pPr>
      <w:jc w:val="right"/>
      <w:rPr>
        <w:i w:val="1"/>
        <w:sz w:val="24"/>
        <w:szCs w:val="2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footer" Target="footer1.xml"/><Relationship Id="rId11" Type="http://schemas.openxmlformats.org/officeDocument/2006/relationships/hyperlink" Target="https://croatian.takolako.org/wp-content/uploads/PISU.mp3" TargetMode="External"/><Relationship Id="rId10" Type="http://schemas.openxmlformats.org/officeDocument/2006/relationships/hyperlink" Target="https://croatian.takolako.org/wp-content/uploads/PISE.mp3" TargetMode="External"/><Relationship Id="rId13" Type="http://schemas.openxmlformats.org/officeDocument/2006/relationships/hyperlink" Target="https://croatian.takolako.org/wp-content/uploads/SALJEMO.mp3" TargetMode="External"/><Relationship Id="rId12" Type="http://schemas.openxmlformats.org/officeDocument/2006/relationships/hyperlink" Target="https://croatian.takolako.org/wp-content/uploads/SALJEM.mp3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croatian.takolako.org/wp-content/uploads/PISETE.mp3" TargetMode="External"/><Relationship Id="rId15" Type="http://schemas.openxmlformats.org/officeDocument/2006/relationships/hyperlink" Target="https://croatian.takolako.org/wp-content/uploads/SALJETE.mp3" TargetMode="External"/><Relationship Id="rId14" Type="http://schemas.openxmlformats.org/officeDocument/2006/relationships/hyperlink" Target="https://croatian.takolako.org/wp-content/uploads/SALJES.mp3" TargetMode="External"/><Relationship Id="rId17" Type="http://schemas.openxmlformats.org/officeDocument/2006/relationships/hyperlink" Target="https://croatian.takolako.org/wp-content/uploads/SALJU.mp3" TargetMode="External"/><Relationship Id="rId16" Type="http://schemas.openxmlformats.org/officeDocument/2006/relationships/hyperlink" Target="https://croatian.takolako.org/wp-content/uploads/SALJE.mp3" TargetMode="External"/><Relationship Id="rId5" Type="http://schemas.openxmlformats.org/officeDocument/2006/relationships/styles" Target="styles.xml"/><Relationship Id="rId19" Type="http://schemas.openxmlformats.org/officeDocument/2006/relationships/header" Target="header1.xml"/><Relationship Id="rId6" Type="http://schemas.openxmlformats.org/officeDocument/2006/relationships/hyperlink" Target="https://croatian.takolako.org/wp-content/uploads/PISEM.mp3" TargetMode="External"/><Relationship Id="rId18" Type="http://schemas.openxmlformats.org/officeDocument/2006/relationships/hyperlink" Target="https://docs.google.com/document/d/1fL6FPyH_oKM0ZAQWVzodzNtte1_BhvhCoSKIZIAtGow/edit#heading=h.ou6sok6ab3dc" TargetMode="External"/><Relationship Id="rId7" Type="http://schemas.openxmlformats.org/officeDocument/2006/relationships/hyperlink" Target="https://croatian.takolako.org/wp-content/uploads/PISEMO.mp3" TargetMode="External"/><Relationship Id="rId8" Type="http://schemas.openxmlformats.org/officeDocument/2006/relationships/hyperlink" Target="https://croatian.takolako.org/wp-content/uploads/PISES.mp3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