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допуске для участия в уголовном деле представителя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(законного представителя) потерпевшего, гражданского истца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 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4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6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(излагаются основания допуска для участия в уголовном деле представителя </w:t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(законного представителя) потерпевшего, гражданского истца)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ст. 45 УПК РФ,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Layout w:type="fixed"/>
        <w:tblLook w:val="0000"/>
      </w:tblPr>
      <w:tblGrid>
        <w:gridCol w:w="1908"/>
        <w:gridCol w:w="8229"/>
        <w:tblGridChange w:id="0">
          <w:tblGrid>
            <w:gridCol w:w="1908"/>
            <w:gridCol w:w="822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Допустить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отчество, адрес)</w:t>
      </w:r>
    </w:p>
    <w:tbl>
      <w:tblPr>
        <w:tblStyle w:val="Table40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  качестве   представителя   (законного   представителя)   потерпевшего,   гражданского   истца</w:t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 либо наименование юридического лица)</w:t>
      </w:r>
    </w:p>
    <w:tbl>
      <w:tblPr>
        <w:tblStyle w:val="Table43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7" w:right="0" w:firstLine="59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Настоящее постановление мне объявлено «____» _____________ 20___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г., права </w:t>
        <w:br w:type="textWrapping"/>
        <w:t xml:space="preserve">и обязанности, предусмотренные ст. 45 (42 и 44) УПК РФ, разъяснены.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80"/>
        <w:gridCol w:w="2915"/>
        <w:gridCol w:w="2736"/>
        <w:tblGridChange w:id="0">
          <w:tblGrid>
            <w:gridCol w:w="4480"/>
            <w:gridCol w:w="2915"/>
            <w:gridCol w:w="273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Представитель (законный представитель)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</w:t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-69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(подпись)</w:t>
        <w:tab/>
        <w:tab/>
        <w:tab/>
        <w:t xml:space="preserve"> (инициалы, фамилия)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851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61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61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pK46anovAn7hZIhSjHS4Az53DA==">CgMxLjA4AHIhMXlHcGZmc3VETV9rNElMQy1ZUk9PN1E0OUJHbUZUeTFX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2007-08-04T09:32:00Z</dcterms:created>
  <dc:creator>ВВС</dc:creator>
</cp:coreProperties>
</file>