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A guide to Key Performance Indicators( KPIs) for the Chief Investment Officer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KPI Guide in your Performance Management System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pPr>
      <w:r w:rsidDel="00000000" w:rsidR="00000000" w:rsidRPr="00000000">
        <w:rPr>
          <w:rtl w:val="0"/>
        </w:rPr>
        <w:t xml:space="preserve">Identify the relevant KPIs: Depending on your role in the organization, you may want to focus on different KPIs. For example, HR professionals may want to track cost per hire, while managers may be more interested in the time-to-fill metric.</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Determine the time frame: Decide on the time frame for tracking each KPI. For example, you may choose to track the number of qualified technical candidates sourced and engaged per month.</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Collect the data: Collect the necessary data to calculate each KPI. For example, to calculate the candidate acceptance rate, you will need to  know the number of job offers accepted and the total number of job offers.</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Calculate the KPIs: Use the formulas provided in the table to calculate each KPI.</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Interpret the results: Once you have calculated the KPIs, interpret the results to evaluate the effectiveness of the performance management system. For example, if the time-to-fill metric is high, it may indicate that the recruitment process needs to be streamlined.</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Use the results to make improvements: Regularly collect the necessary data for each KPI.  Keep track of the results over time to monitor performance, identify areas for improvement, and ensure compliance with regulations. Use the insights gained from the KPIs to make improvements to the performance management system. For example, if the candidate satisfaction rate with the recruitment process is low, consider making changes to improve the candidate experience.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p60m2533t1n8" w:id="2"/>
      <w:bookmarkEnd w:id="2"/>
      <w:r w:rsidDel="00000000" w:rsidR="00000000" w:rsidRPr="00000000">
        <w:rPr>
          <w:rtl w:val="0"/>
        </w:rPr>
        <w:t xml:space="preserve">Section 2: Key Performance Indicators For Role Chief Investment Officer</w:t>
      </w:r>
    </w:p>
    <w:p w:rsidR="00000000" w:rsidDel="00000000" w:rsidP="00000000" w:rsidRDefault="00000000" w:rsidRPr="00000000" w14:paraId="00000012">
      <w:pPr>
        <w:rPr/>
      </w:pPr>
      <w:r w:rsidDel="00000000" w:rsidR="00000000" w:rsidRPr="00000000">
        <w:rPr>
          <w:rtl w:val="0"/>
        </w:rPr>
      </w:r>
    </w:p>
    <w:tbl>
      <w:tblPr>
        <w:tblStyle w:val="Table1"/>
        <w:tblW w:w="9360.0" w:type="dxa"/>
        <w:jc w:val="left"/>
        <w:tblLayout w:type="fixed"/>
        <w:tblLook w:val="0600"/>
      </w:tblPr>
      <w:tblGrid>
        <w:gridCol w:w="2135.446685878963"/>
        <w:gridCol w:w="4050.6051873198844"/>
        <w:gridCol w:w="3173.9481268011523"/>
        <w:tblGridChange w:id="0">
          <w:tblGrid>
            <w:gridCol w:w="2135.446685878963"/>
            <w:gridCol w:w="4050.6051873198844"/>
            <w:gridCol w:w="3173.9481268011523"/>
          </w:tblGrid>
        </w:tblGridChange>
      </w:tblGrid>
      <w:tr>
        <w:trPr>
          <w:cantSplit w:val="0"/>
          <w:trHeight w:val="710" w:hRule="atLeast"/>
          <w:tblHeader w:val="0"/>
        </w:trPr>
        <w:tc>
          <w:tcPr>
            <w:tcBorders>
              <w:top w:color="000000" w:space="0" w:sz="6" w:val="single"/>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13">
            <w:pPr>
              <w:spacing w:line="240" w:lineRule="auto"/>
              <w:rPr>
                <w:b w:val="1"/>
                <w:bCs w:val="1"/>
                <w:i w:val="1"/>
                <w:iCs w:val="1"/>
              </w:rPr>
            </w:pPr>
            <w:r w:rsidDel="00000000" w:rsidR="00000000" w:rsidRPr="00000000">
              <w:rPr>
                <w:b w:val="1"/>
                <w:bCs w:val="1"/>
                <w:i w:val="1"/>
                <w:iCs w:val="1"/>
                <w:rtl w:val="0"/>
              </w:rPr>
              <w:t xml:space="preserve">KPI</w:t>
            </w:r>
          </w:p>
        </w:tc>
        <w:tc>
          <w:tcPr>
            <w:tcBorders>
              <w:top w:color="000000" w:space="0" w:sz="6" w:val="single"/>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14">
            <w:pPr>
              <w:spacing w:line="240" w:lineRule="auto"/>
              <w:rPr>
                <w:b w:val="1"/>
                <w:bCs w:val="1"/>
                <w:i w:val="1"/>
                <w:iCs w:val="1"/>
              </w:rPr>
            </w:pPr>
            <w:r w:rsidDel="00000000" w:rsidR="00000000" w:rsidRPr="00000000">
              <w:rPr>
                <w:b w:val="1"/>
                <w:bCs w:val="1"/>
                <w:i w:val="1"/>
                <w:iCs w:val="1"/>
                <w:rtl w:val="0"/>
              </w:rPr>
              <w:t xml:space="preserve">Detailed Description</w:t>
            </w:r>
          </w:p>
        </w:tc>
        <w:tc>
          <w:tcPr>
            <w:tcBorders>
              <w:top w:color="000000" w:space="0" w:sz="6" w:val="single"/>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15">
            <w:pPr>
              <w:spacing w:line="240" w:lineRule="auto"/>
              <w:rPr>
                <w:b w:val="1"/>
                <w:bCs w:val="1"/>
                <w:i w:val="1"/>
                <w:iCs w:val="1"/>
              </w:rPr>
            </w:pPr>
            <w:r w:rsidDel="00000000" w:rsidR="00000000" w:rsidRPr="00000000">
              <w:rPr>
                <w:b w:val="1"/>
                <w:bCs w:val="1"/>
                <w:i w:val="1"/>
                <w:iCs w:val="1"/>
                <w:rtl w:val="0"/>
              </w:rPr>
              <w:t xml:space="preserve">Formula</w:t>
            </w:r>
          </w:p>
        </w:tc>
      </w:tr>
      <w:tr>
        <w:trPr>
          <w:cantSplit w:val="0"/>
          <w:trHeight w:val="177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6">
            <w:pPr>
              <w:spacing w:line="240" w:lineRule="auto"/>
              <w:rPr/>
            </w:pPr>
            <w:r w:rsidDel="00000000" w:rsidR="00000000" w:rsidRPr="00000000">
              <w:rPr>
                <w:rtl w:val="0"/>
              </w:rPr>
              <w:t xml:space="preserve">Alignment with Financial Targets</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7">
            <w:pPr>
              <w:spacing w:line="240" w:lineRule="auto"/>
              <w:rPr/>
            </w:pPr>
            <w:r w:rsidDel="00000000" w:rsidR="00000000" w:rsidRPr="00000000">
              <w:rPr>
                <w:rtl w:val="0"/>
              </w:rPr>
              <w:t xml:space="preserve">This KPI measures the extent to which investment strategies and portfolio management align with the company's financial targets.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18">
            <w:pPr>
              <w:spacing w:line="240" w:lineRule="auto"/>
              <w:rPr/>
            </w:pPr>
            <w:r w:rsidDel="00000000" w:rsidR="00000000" w:rsidRPr="00000000">
              <w:rPr>
                <w:rtl w:val="0"/>
              </w:rPr>
              <w:t xml:space="preserve">Percentage deviation from financial targets</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9">
            <w:pPr>
              <w:spacing w:line="240" w:lineRule="auto"/>
              <w:rPr/>
            </w:pPr>
            <w:r w:rsidDel="00000000" w:rsidR="00000000" w:rsidRPr="00000000">
              <w:rPr>
                <w:rtl w:val="0"/>
              </w:rPr>
              <w:t xml:space="preserve">Investment Portfolio Performance</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A">
            <w:pPr>
              <w:spacing w:line="240" w:lineRule="auto"/>
              <w:rPr/>
            </w:pPr>
            <w:r w:rsidDel="00000000" w:rsidR="00000000" w:rsidRPr="00000000">
              <w:rPr>
                <w:rtl w:val="0"/>
              </w:rPr>
              <w:t xml:space="preserve">This KPI assesses the performance of the investment portfolio in terms of returns and risk-adjusted measures.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1B">
            <w:pPr>
              <w:spacing w:line="240" w:lineRule="auto"/>
              <w:rPr/>
            </w:pPr>
            <w:r w:rsidDel="00000000" w:rsidR="00000000" w:rsidRPr="00000000">
              <w:rPr>
                <w:rtl w:val="0"/>
              </w:rPr>
              <w:t xml:space="preserve">Portfolio return on investment / Risk-adjusted return on investment</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C">
            <w:pPr>
              <w:spacing w:line="240" w:lineRule="auto"/>
              <w:rPr/>
            </w:pPr>
            <w:r w:rsidDel="00000000" w:rsidR="00000000" w:rsidRPr="00000000">
              <w:rPr>
                <w:rtl w:val="0"/>
              </w:rPr>
              <w:t xml:space="preserve">Team Performance</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D">
            <w:pPr>
              <w:spacing w:line="240" w:lineRule="auto"/>
              <w:rPr/>
            </w:pPr>
            <w:r w:rsidDel="00000000" w:rsidR="00000000" w:rsidRPr="00000000">
              <w:rPr>
                <w:rtl w:val="0"/>
              </w:rPr>
              <w:t xml:space="preserve">This KPI evaluates the performance and productivity of the investment team in achieving investment goals.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1E">
            <w:pPr>
              <w:spacing w:line="240" w:lineRule="auto"/>
              <w:rPr/>
            </w:pPr>
            <w:r w:rsidDel="00000000" w:rsidR="00000000" w:rsidRPr="00000000">
              <w:rPr>
                <w:rtl w:val="0"/>
              </w:rPr>
              <w:t xml:space="preserve">Number of successful investments / Total number of investments</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F">
            <w:pPr>
              <w:spacing w:line="240" w:lineRule="auto"/>
              <w:rPr/>
            </w:pPr>
            <w:r w:rsidDel="00000000" w:rsidR="00000000" w:rsidRPr="00000000">
              <w:rPr>
                <w:rtl w:val="0"/>
              </w:rPr>
              <w:t xml:space="preserve">Market Trend Analysis</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0">
            <w:pPr>
              <w:spacing w:line="240" w:lineRule="auto"/>
              <w:rPr/>
            </w:pPr>
            <w:r w:rsidDel="00000000" w:rsidR="00000000" w:rsidRPr="00000000">
              <w:rPr>
                <w:rtl w:val="0"/>
              </w:rPr>
              <w:t xml:space="preserve">This KPI measures the accuracy and timeliness of market trend analysis conducted by the investment team.</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1">
            <w:pPr>
              <w:spacing w:line="240" w:lineRule="auto"/>
              <w:rPr/>
            </w:pPr>
            <w:r w:rsidDel="00000000" w:rsidR="00000000" w:rsidRPr="00000000">
              <w:rPr>
                <w:rtl w:val="0"/>
              </w:rPr>
              <w:t xml:space="preserve">Percentage accuracy of market trend analysis</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2">
            <w:pPr>
              <w:spacing w:line="240" w:lineRule="auto"/>
              <w:rPr/>
            </w:pPr>
            <w:r w:rsidDel="00000000" w:rsidR="00000000" w:rsidRPr="00000000">
              <w:rPr>
                <w:rtl w:val="0"/>
              </w:rPr>
              <w:t xml:space="preserve">Risk Mitigation</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3">
            <w:pPr>
              <w:spacing w:line="240" w:lineRule="auto"/>
              <w:rPr/>
            </w:pPr>
            <w:r w:rsidDel="00000000" w:rsidR="00000000" w:rsidRPr="00000000">
              <w:rPr>
                <w:rtl w:val="0"/>
              </w:rPr>
              <w:t xml:space="preserve">This KPI assesses the effectiveness of risk mitigation strategies in minimizing investment risks.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4">
            <w:pPr>
              <w:spacing w:line="240" w:lineRule="auto"/>
              <w:rPr/>
            </w:pPr>
            <w:r w:rsidDel="00000000" w:rsidR="00000000" w:rsidRPr="00000000">
              <w:rPr>
                <w:rtl w:val="0"/>
              </w:rPr>
              <w:t xml:space="preserve">Percentage reduction in investment risks</w:t>
            </w:r>
          </w:p>
        </w:tc>
      </w:tr>
      <w:tr>
        <w:trPr>
          <w:cantSplit w:val="0"/>
          <w:trHeight w:val="177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5">
            <w:pPr>
              <w:spacing w:line="240" w:lineRule="auto"/>
              <w:rPr/>
            </w:pPr>
            <w:r w:rsidDel="00000000" w:rsidR="00000000" w:rsidRPr="00000000">
              <w:rPr>
                <w:rtl w:val="0"/>
              </w:rPr>
              <w:t xml:space="preserve">Due Diligence Effectiveness</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6">
            <w:pPr>
              <w:spacing w:line="240" w:lineRule="auto"/>
              <w:rPr/>
            </w:pPr>
            <w:r w:rsidDel="00000000" w:rsidR="00000000" w:rsidRPr="00000000">
              <w:rPr>
                <w:rtl w:val="0"/>
              </w:rPr>
              <w:t xml:space="preserve">This KPI evaluates the effectiveness of due diligence processes in identifying and assessing potential investment opportunities.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7">
            <w:pPr>
              <w:spacing w:line="240" w:lineRule="auto"/>
              <w:rPr/>
            </w:pPr>
            <w:r w:rsidDel="00000000" w:rsidR="00000000" w:rsidRPr="00000000">
              <w:rPr>
                <w:rtl w:val="0"/>
              </w:rPr>
              <w:t xml:space="preserve">Number of successful due diligence assessments / Total number of due diligence assessments</w:t>
            </w:r>
          </w:p>
        </w:tc>
      </w:tr>
      <w:tr>
        <w:trPr>
          <w:cantSplit w:val="0"/>
          <w:trHeight w:val="177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8">
            <w:pPr>
              <w:spacing w:line="240" w:lineRule="auto"/>
              <w:rPr/>
            </w:pPr>
            <w:r w:rsidDel="00000000" w:rsidR="00000000" w:rsidRPr="00000000">
              <w:rPr>
                <w:rtl w:val="0"/>
              </w:rPr>
              <w:t xml:space="preserve">Stakeholder Relationship Management</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9">
            <w:pPr>
              <w:spacing w:line="240" w:lineRule="auto"/>
              <w:rPr/>
            </w:pPr>
            <w:r w:rsidDel="00000000" w:rsidR="00000000" w:rsidRPr="00000000">
              <w:rPr>
                <w:rtl w:val="0"/>
              </w:rPr>
              <w:t xml:space="preserve">This KPI measures the quality and strength of relationships with key stakeholders, such as investment managers and brokers.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A">
            <w:pPr>
              <w:spacing w:line="240" w:lineRule="auto"/>
              <w:rPr/>
            </w:pPr>
            <w:r w:rsidDel="00000000" w:rsidR="00000000" w:rsidRPr="00000000">
              <w:rPr>
                <w:rtl w:val="0"/>
              </w:rPr>
              <w:t xml:space="preserve">Stakeholder satisfaction rating (scale of 1-5)</w:t>
            </w:r>
          </w:p>
        </w:tc>
      </w:tr>
      <w:tr>
        <w:trPr>
          <w:cantSplit w:val="0"/>
          <w:trHeight w:val="177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B">
            <w:pPr>
              <w:spacing w:line="240" w:lineRule="auto"/>
              <w:rPr/>
            </w:pPr>
            <w:r w:rsidDel="00000000" w:rsidR="00000000" w:rsidRPr="00000000">
              <w:rPr>
                <w:rtl w:val="0"/>
              </w:rPr>
              <w:t xml:space="preserve">Portfolio Monitoring and Reporting</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C">
            <w:pPr>
              <w:spacing w:line="240" w:lineRule="auto"/>
              <w:rPr/>
            </w:pPr>
            <w:r w:rsidDel="00000000" w:rsidR="00000000" w:rsidRPr="00000000">
              <w:rPr>
                <w:rtl w:val="0"/>
              </w:rPr>
              <w:t xml:space="preserve">This KPI assesses the timeliness and accuracy of portfolio monitoring and reporting to senior management and the board of directors.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D">
            <w:pPr>
              <w:spacing w:line="240" w:lineRule="auto"/>
              <w:rPr/>
            </w:pPr>
            <w:r w:rsidDel="00000000" w:rsidR="00000000" w:rsidRPr="00000000">
              <w:rPr>
                <w:rtl w:val="0"/>
              </w:rPr>
              <w:t xml:space="preserve">Number of timely and accurate portfolio reports provided</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E">
            <w:pPr>
              <w:spacing w:line="240" w:lineRule="auto"/>
              <w:rPr/>
            </w:pPr>
            <w:r w:rsidDel="00000000" w:rsidR="00000000" w:rsidRPr="00000000">
              <w:rPr>
                <w:rtl w:val="0"/>
              </w:rPr>
              <w:t xml:space="preserve">Investment Cost Efficiency</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F">
            <w:pPr>
              <w:spacing w:line="240" w:lineRule="auto"/>
              <w:rPr/>
            </w:pPr>
            <w:r w:rsidDel="00000000" w:rsidR="00000000" w:rsidRPr="00000000">
              <w:rPr>
                <w:rtl w:val="0"/>
              </w:rPr>
              <w:t xml:space="preserve">This KPI measures the cost efficiency of investment activities, including transaction costs and management fees.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30">
            <w:pPr>
              <w:spacing w:line="240" w:lineRule="auto"/>
              <w:rPr/>
            </w:pPr>
            <w:r w:rsidDel="00000000" w:rsidR="00000000" w:rsidRPr="00000000">
              <w:rPr>
                <w:rtl w:val="0"/>
              </w:rPr>
              <w:t xml:space="preserve">Investment costs / Total investment value</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31">
            <w:pPr>
              <w:spacing w:line="240" w:lineRule="auto"/>
              <w:rPr/>
            </w:pPr>
            <w:r w:rsidDel="00000000" w:rsidR="00000000" w:rsidRPr="00000000">
              <w:rPr>
                <w:rtl w:val="0"/>
              </w:rPr>
              <w:t xml:space="preserve">Risk-Adjusted Performance</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32">
            <w:pPr>
              <w:spacing w:line="240" w:lineRule="auto"/>
              <w:rPr/>
            </w:pPr>
            <w:r w:rsidDel="00000000" w:rsidR="00000000" w:rsidRPr="00000000">
              <w:rPr>
                <w:rtl w:val="0"/>
              </w:rPr>
              <w:t xml:space="preserve">This KPI evaluates the performance of the investment portfolio considering the level of risk taken.</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33">
            <w:pPr>
              <w:spacing w:line="240" w:lineRule="auto"/>
              <w:rPr/>
            </w:pPr>
            <w:r w:rsidDel="00000000" w:rsidR="00000000" w:rsidRPr="00000000">
              <w:rPr>
                <w:rtl w:val="0"/>
              </w:rPr>
              <w:t xml:space="preserve">(Portfolio return on investment - Risk-free rate) / Portfolio risk</w:t>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ind w:left="0" w:firstLine="0"/>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ind w:left="720" w:firstLine="0"/>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