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6315"/>
        </w:tabs>
        <w:spacing w:line="36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4"/>
          <w:szCs w:val="24"/>
          <w:vertAlign w:val="baseline"/>
          <w:rtl w:val="0"/>
        </w:rPr>
        <w:br w:type="textWrapping"/>
      </w:r>
      <w:r w:rsidDel="00000000" w:rsidR="00000000" w:rsidRPr="00000000">
        <w:rPr>
          <w:rFonts w:ascii="Times New Roman" w:cs="Times New Roman" w:eastAsia="Times New Roman" w:hAnsi="Times New Roman"/>
          <w:b w:val="1"/>
          <w:sz w:val="28"/>
          <w:szCs w:val="28"/>
          <w:vertAlign w:val="baseline"/>
          <w:rtl w:val="0"/>
        </w:rPr>
        <w:t xml:space="preserve">TÍTULO EM CAIXA ALTA NEGRITO FONTE TIMES NEW ROMAN TAMANHO 14 CENTRALIZADO</w:t>
      </w:r>
      <w:r w:rsidDel="00000000" w:rsidR="00000000" w:rsidRPr="00000000">
        <w:rPr>
          <w:rtl w:val="0"/>
        </w:rPr>
      </w:r>
    </w:p>
    <w:p w:rsidR="00000000" w:rsidDel="00000000" w:rsidP="00000000" w:rsidRDefault="00000000" w:rsidRPr="00000000" w14:paraId="00000002">
      <w:pPr>
        <w:spacing w:after="0" w:line="240" w:lineRule="auto"/>
        <w:ind w:firstLine="708"/>
        <w:jc w:val="righ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Primeiro Autor (nome completo) </w:t>
      </w:r>
      <w:r w:rsidDel="00000000" w:rsidR="00000000" w:rsidRPr="00000000">
        <w:rPr>
          <w:rtl w:val="0"/>
        </w:rPr>
      </w:r>
    </w:p>
    <w:p w:rsidR="00000000" w:rsidDel="00000000" w:rsidP="00000000" w:rsidRDefault="00000000" w:rsidRPr="00000000" w14:paraId="00000003">
      <w:pPr>
        <w:spacing w:after="0" w:line="240" w:lineRule="auto"/>
        <w:ind w:firstLine="708"/>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Instituição do primeiro autor (nome e sigla) </w:t>
      </w:r>
    </w:p>
    <w:p w:rsidR="00000000" w:rsidDel="00000000" w:rsidP="00000000" w:rsidRDefault="00000000" w:rsidRPr="00000000" w14:paraId="00000004">
      <w:pPr>
        <w:spacing w:after="0" w:line="240" w:lineRule="auto"/>
        <w:ind w:firstLine="708"/>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E-mail do primeiro autor</w:t>
      </w:r>
    </w:p>
    <w:p w:rsidR="00000000" w:rsidDel="00000000" w:rsidP="00000000" w:rsidRDefault="00000000" w:rsidRPr="00000000" w14:paraId="00000005">
      <w:pPr>
        <w:spacing w:after="0" w:line="240" w:lineRule="auto"/>
        <w:ind w:firstLine="708"/>
        <w:jc w:val="righ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6">
      <w:pPr>
        <w:spacing w:after="0" w:line="240" w:lineRule="auto"/>
        <w:ind w:firstLine="708"/>
        <w:jc w:val="righ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Segundo Autor (nome completo)</w:t>
      </w:r>
      <w:r w:rsidDel="00000000" w:rsidR="00000000" w:rsidRPr="00000000">
        <w:rPr>
          <w:rtl w:val="0"/>
        </w:rPr>
      </w:r>
    </w:p>
    <w:p w:rsidR="00000000" w:rsidDel="00000000" w:rsidP="00000000" w:rsidRDefault="00000000" w:rsidRPr="00000000" w14:paraId="00000007">
      <w:pPr>
        <w:spacing w:after="0" w:line="240" w:lineRule="auto"/>
        <w:ind w:firstLine="708"/>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Instituição do segundo autor (nome e sigla) </w:t>
      </w:r>
    </w:p>
    <w:p w:rsidR="00000000" w:rsidDel="00000000" w:rsidP="00000000" w:rsidRDefault="00000000" w:rsidRPr="00000000" w14:paraId="00000008">
      <w:pPr>
        <w:spacing w:after="0" w:line="240" w:lineRule="auto"/>
        <w:ind w:firstLine="708"/>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E-mail do segundo autor</w:t>
      </w:r>
    </w:p>
    <w:p w:rsidR="00000000" w:rsidDel="00000000" w:rsidP="00000000" w:rsidRDefault="00000000" w:rsidRPr="00000000" w14:paraId="00000009">
      <w:pPr>
        <w:spacing w:after="0" w:line="240" w:lineRule="auto"/>
        <w:ind w:firstLine="708"/>
        <w:jc w:val="righ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A">
      <w:pPr>
        <w:spacing w:after="0" w:line="240" w:lineRule="auto"/>
        <w:ind w:firstLine="708"/>
        <w:jc w:val="righ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Terceiro Autor (nome completo)</w:t>
      </w:r>
      <w:r w:rsidDel="00000000" w:rsidR="00000000" w:rsidRPr="00000000">
        <w:rPr>
          <w:rtl w:val="0"/>
        </w:rPr>
      </w:r>
    </w:p>
    <w:p w:rsidR="00000000" w:rsidDel="00000000" w:rsidP="00000000" w:rsidRDefault="00000000" w:rsidRPr="00000000" w14:paraId="0000000B">
      <w:pPr>
        <w:spacing w:after="0" w:line="240" w:lineRule="auto"/>
        <w:ind w:firstLine="708"/>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Instituição do terceiro autor (nome e sigla) </w:t>
      </w:r>
    </w:p>
    <w:p w:rsidR="00000000" w:rsidDel="00000000" w:rsidP="00000000" w:rsidRDefault="00000000" w:rsidRPr="00000000" w14:paraId="0000000C">
      <w:pPr>
        <w:spacing w:after="0" w:line="240" w:lineRule="auto"/>
        <w:ind w:firstLine="708"/>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E-mail do segundo autor</w:t>
      </w:r>
    </w:p>
    <w:p w:rsidR="00000000" w:rsidDel="00000000" w:rsidP="00000000" w:rsidRDefault="00000000" w:rsidRPr="00000000" w14:paraId="0000000D">
      <w:pPr>
        <w:spacing w:after="0" w:line="360" w:lineRule="auto"/>
        <w:ind w:left="0" w:firstLine="0"/>
        <w:jc w:val="left"/>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Palavras-chave:</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educação de jovens, adultos e idosos ; ensino de matemática; narrativas; formação de professores</w:t>
      </w: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Espaço de Diálogo: </w:t>
      </w:r>
      <w:r w:rsidDel="00000000" w:rsidR="00000000" w:rsidRPr="00000000">
        <w:rPr>
          <w:rFonts w:ascii="Times New Roman" w:cs="Times New Roman" w:eastAsia="Times New Roman" w:hAnsi="Times New Roman"/>
          <w:sz w:val="24"/>
          <w:szCs w:val="24"/>
          <w:rtl w:val="0"/>
        </w:rPr>
        <w:t xml:space="preserve">ED2- Políticas e Práticas Curriculares na Educação de Jovens e Adultos</w:t>
      </w: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Modalidade: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pesquisa acadêmica </w:t>
      </w:r>
      <w:r w:rsidDel="00000000" w:rsidR="00000000" w:rsidRPr="00000000">
        <w:rPr>
          <w:rtl w:val="0"/>
        </w:rPr>
      </w:r>
    </w:p>
    <w:p w:rsidR="00000000" w:rsidDel="00000000" w:rsidP="00000000" w:rsidRDefault="00000000" w:rsidRPr="00000000" w14:paraId="00000011">
      <w:pPr>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br w:type="textWrapping"/>
        <w:t xml:space="preserve">Introdução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trabalho é um recorte de uma pesquisa de doutorado que está sendo desenvolvida pelo primeiro autor, orientada pelo segundo autor, na qual tem por objetivo geral compreender os percursos formativos que podem contribuir para o entendimento sobre a Educação de Jovens, Adultos (EJA) na formação inicial do professor de matemática.  A vivência do primeiro autor como professor em turmas da EJA e do curso de Licenciatura em Matemática de uma instituição federal de ensino localizada, em um município da Baixada Fluminense, na região metropolitana do  estado do Rio de Janeiro levou a problematizar o lugar ocupado pela EJA na formação inicial do professor de matemática pois  “A Educação de Jovens e Adultos ainda ocupa lugar pouco destacado não apenas nas propostas curriculares de formação inicial, mas, também, na produção científica acadêmica” (Ventura; Bonfim, p.221).</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Arial" w:cs="Arial" w:eastAsia="Arial" w:hAnsi="Arial"/>
          <w:sz w:val="24"/>
          <w:szCs w:val="24"/>
        </w:rPr>
      </w:pPr>
      <w:r w:rsidDel="00000000" w:rsidR="00000000" w:rsidRPr="00000000">
        <w:rPr>
          <w:rFonts w:ascii="Times New Roman" w:cs="Times New Roman" w:eastAsia="Times New Roman" w:hAnsi="Times New Roman"/>
          <w:sz w:val="24"/>
          <w:szCs w:val="24"/>
          <w:rtl w:val="0"/>
        </w:rPr>
        <w:t xml:space="preserve">Nessa perspectiva, defendemos a importância de refletir sobre a EJA na formação inicial do professor de matemática a partir de experiências  formativas que considerem  a diversidade dos estudantes que compõem a EJA, trajetórias de vida e seus processos de aprendizagem  pois entendemos que tais experiências podem trazer contribuições potentes para a Educação Matemática na EJA pois conforme nos alertam </w:t>
      </w:r>
      <w:r w:rsidDel="00000000" w:rsidR="00000000" w:rsidRPr="00000000">
        <w:rPr>
          <w:rFonts w:ascii="Arial" w:cs="Arial" w:eastAsia="Arial" w:hAnsi="Arial"/>
          <w:sz w:val="24"/>
          <w:szCs w:val="24"/>
          <w:rtl w:val="0"/>
        </w:rPr>
        <w:t xml:space="preserve">Fantinato; Vargas (2010):</w:t>
      </w:r>
    </w:p>
    <w:p w:rsidR="00000000" w:rsidDel="00000000" w:rsidP="00000000" w:rsidRDefault="00000000" w:rsidRPr="00000000" w14:paraId="00000014">
      <w:pPr>
        <w:spacing w:after="80" w:before="80" w:line="360" w:lineRule="auto"/>
        <w:ind w:left="22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white"/>
          <w:rtl w:val="0"/>
        </w:rPr>
        <w:t xml:space="preserve">Muitas das práticas docentes observadas nas escolas de EJA indicam que os professores ainda apresentam dificuldades em dar conta dos diferentes saberes incorporados, formas distintas de aprender e ensinar, situadas nos aprendizados das práticas que os estudantes carregam consigo, acirrando o sentimento de não pertencimento dos seus saberes ao contexto escolar</w:t>
      </w:r>
      <w:r w:rsidDel="00000000" w:rsidR="00000000" w:rsidRPr="00000000">
        <w:rPr>
          <w:rFonts w:ascii="Times New Roman" w:cs="Times New Roman" w:eastAsia="Times New Roman" w:hAnsi="Times New Roman"/>
          <w:rtl w:val="0"/>
        </w:rPr>
        <w:t xml:space="preserve">” (p.32)</w:t>
      </w:r>
    </w:p>
    <w:p w:rsidR="00000000" w:rsidDel="00000000" w:rsidP="00000000" w:rsidRDefault="00000000" w:rsidRPr="00000000" w14:paraId="00000015">
      <w:pPr>
        <w:spacing w:after="80" w:before="80" w:line="360" w:lineRule="auto"/>
        <w:ind w:left="0"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4"/>
          <w:szCs w:val="24"/>
          <w:rtl w:val="0"/>
        </w:rPr>
        <w:t xml:space="preserve">Dessa maneira, os estudos realizados por Giraldo (2018); Walsh(2008, 2017) nos apontam caminhos na formação inicial do professor que levem ao enfrentamento da relações de colonialidade presentes no ensino de matemática que  tem invisibilizado grupos subalternizados e seus saberes que estão presentes na sala de aula da EJA.</w:t>
      </w:r>
      <w:r w:rsidDel="00000000" w:rsidR="00000000" w:rsidRPr="00000000">
        <w:rPr>
          <w:rtl w:val="0"/>
        </w:rPr>
      </w:r>
    </w:p>
    <w:p w:rsidR="00000000" w:rsidDel="00000000" w:rsidP="00000000" w:rsidRDefault="00000000" w:rsidRPr="00000000" w14:paraId="00000016">
      <w:pPr>
        <w:spacing w:line="36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Metodologia </w:t>
      </w:r>
      <w:r w:rsidDel="00000000" w:rsidR="00000000" w:rsidRPr="00000000">
        <w:rPr>
          <w:rFonts w:ascii="Times New Roman" w:cs="Times New Roman" w:eastAsia="Times New Roman" w:hAnsi="Times New Roman"/>
          <w:b w:val="1"/>
          <w:color w:val="ff0000"/>
          <w:sz w:val="24"/>
          <w:szCs w:val="24"/>
          <w:vertAlign w:val="baseline"/>
          <w:rtl w:val="0"/>
        </w:rPr>
        <w:t xml:space="preserve">(Caixa baixa em negrito, fonte Times New Roman tamanho 12)</w:t>
      </w:r>
      <w:r w:rsidDel="00000000" w:rsidR="00000000" w:rsidRPr="00000000">
        <w:rPr>
          <w:rtl w:val="0"/>
        </w:rPr>
      </w:r>
    </w:p>
    <w:p w:rsidR="00000000" w:rsidDel="00000000" w:rsidP="00000000" w:rsidRDefault="00000000" w:rsidRPr="00000000" w14:paraId="00000017">
      <w:pPr>
        <w:spacing w:line="360" w:lineRule="auto"/>
        <w:ind w:firstLine="708"/>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Para a presente investigação, utilizamos como metodologia a pesquisa narrativa pois conforme é apontado por Freitas; Fiorentini (2008):</w:t>
      </w:r>
    </w:p>
    <w:p w:rsidR="00000000" w:rsidDel="00000000" w:rsidP="00000000" w:rsidRDefault="00000000" w:rsidRPr="00000000" w14:paraId="00000018">
      <w:pPr>
        <w:spacing w:line="360" w:lineRule="auto"/>
        <w:ind w:left="2160" w:firstLine="708.0000000000001"/>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O participante da pesquisa é um parceiro do processo de investigação que compartilha com o pesquisador interpretações e significados sobre as experiências vividas, pois as histórias pessoais e profissionais do participante, relacionadas às ações ou atividades que realiza, trazem informações e indícios relevantes sobre o seu processo de formação ao longo do tempo (pág.142)</w:t>
      </w:r>
    </w:p>
    <w:p w:rsidR="00000000" w:rsidDel="00000000" w:rsidP="00000000" w:rsidRDefault="00000000" w:rsidRPr="00000000" w14:paraId="00000019">
      <w:pPr>
        <w:spacing w:line="360" w:lineRule="auto"/>
        <w:ind w:firstLine="708"/>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A">
      <w:pPr>
        <w:spacing w:line="360" w:lineRule="auto"/>
        <w:ind w:firstLine="708"/>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B">
      <w:pPr>
        <w:spacing w:line="360" w:lineRule="auto"/>
        <w:ind w:firstLine="708"/>
        <w:jc w:val="both"/>
        <w:rPr>
          <w:rFonts w:ascii="Times New Roman" w:cs="Times New Roman" w:eastAsia="Times New Roman" w:hAnsi="Times New Roman"/>
          <w:color w:val="ff0000"/>
          <w:sz w:val="24"/>
          <w:szCs w:val="24"/>
          <w:vertAlign w:val="baseline"/>
        </w:rPr>
      </w:pPr>
      <w:r w:rsidDel="00000000" w:rsidR="00000000" w:rsidRPr="00000000">
        <w:rPr>
          <w:rFonts w:ascii="Times New Roman" w:cs="Times New Roman" w:eastAsia="Times New Roman" w:hAnsi="Times New Roman"/>
          <w:color w:val="ff0000"/>
          <w:sz w:val="24"/>
          <w:szCs w:val="24"/>
          <w:vertAlign w:val="baseline"/>
          <w:rtl w:val="0"/>
        </w:rPr>
        <w:t xml:space="preserve">Cada trabalho deverá ter no mínimo 3 (três) e no máximo 5 (cinco) páginas, incluindo bibliografia, formatado em fonte Times New Roman, tamanho 12, espaçamento entre linhas de 1,5 e alinhamento justificado. Serão aceitos textos apenas em português. Página tamanho A4 com margens superior e esquerda iguais a 3cm e margens inferior e direita iguais a 2cm. As referências bibliográficas, as legendas e a utilização de quadros, tabelas, gráficos e imagens devem estar de acordo com as normas da ABNT. Arquivo deve ser salvo no formato .doc ou .docx (Word).</w:t>
      </w:r>
    </w:p>
    <w:p w:rsidR="00000000" w:rsidDel="00000000" w:rsidP="00000000" w:rsidRDefault="00000000" w:rsidRPr="00000000" w14:paraId="0000001C">
      <w:pPr>
        <w:spacing w:line="36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D">
      <w:pPr>
        <w:spacing w:line="36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Figura 1:</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color w:val="ff0000"/>
          <w:sz w:val="20"/>
          <w:szCs w:val="20"/>
          <w:vertAlign w:val="baseline"/>
          <w:rtl w:val="0"/>
        </w:rPr>
        <w:t xml:space="preserve">Legenda em TIMES NEW ROMAN 10 e referenciada no texto como (Fig.1)</w:t>
        <w:br w:type="textWrapping"/>
        <w:t xml:space="preserve">Imagem centralizada, alinhada com o texto.</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3380105" cy="1351915"/>
            <wp:effectExtent b="0" l="0" r="0" t="0"/>
            <wp:docPr id="102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380105" cy="1351915"/>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spacing w:after="0" w:line="36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Fonte: </w:t>
      </w:r>
      <w:r w:rsidDel="00000000" w:rsidR="00000000" w:rsidRPr="00000000">
        <w:rPr>
          <w:rFonts w:ascii="Times New Roman" w:cs="Times New Roman" w:eastAsia="Times New Roman" w:hAnsi="Times New Roman"/>
          <w:color w:val="ff0000"/>
          <w:sz w:val="20"/>
          <w:szCs w:val="20"/>
          <w:vertAlign w:val="baseline"/>
          <w:rtl w:val="0"/>
        </w:rPr>
        <w:t xml:space="preserve">Autores do modelo.</w:t>
      </w:r>
      <w:r w:rsidDel="00000000" w:rsidR="00000000" w:rsidRPr="00000000">
        <w:rPr>
          <w:rtl w:val="0"/>
        </w:rPr>
      </w:r>
    </w:p>
    <w:p w:rsidR="00000000" w:rsidDel="00000000" w:rsidP="00000000" w:rsidRDefault="00000000" w:rsidRPr="00000000" w14:paraId="00000020">
      <w:pPr>
        <w:spacing w:after="0" w:line="360" w:lineRule="auto"/>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Cada trabalho deverá ter no mínimo 3 (três) e no máximo 5 (cinco) páginas, incluindo bibliografia, formatado em fonte Times New Roman, tamanho 12, espaçamento entre linhas de 1,5 e alinhamento justificado. Serão aceitos textos apenas em português. Página tamanho A4 com margens superior e esquerda iguais a 3cm e margens inferior e direita iguais a 2cm. As referências bibliográficas, as legendas e a utilização de quadros, tabelas, gráficos e imagens devem estar de acordo com as normas da ABNT. Arquivo deve ser salvo no formato .doc ou .docx (Word).</w:t>
      </w:r>
    </w:p>
    <w:p w:rsidR="00000000" w:rsidDel="00000000" w:rsidP="00000000" w:rsidRDefault="00000000" w:rsidRPr="00000000" w14:paraId="00000022">
      <w:pPr>
        <w:spacing w:line="36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23">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Análise dos resultados </w:t>
      </w:r>
      <w:r w:rsidDel="00000000" w:rsidR="00000000" w:rsidRPr="00000000">
        <w:rPr>
          <w:rFonts w:ascii="Times New Roman" w:cs="Times New Roman" w:eastAsia="Times New Roman" w:hAnsi="Times New Roman"/>
          <w:b w:val="1"/>
          <w:color w:val="ff0000"/>
          <w:sz w:val="24"/>
          <w:szCs w:val="24"/>
          <w:vertAlign w:val="baseline"/>
          <w:rtl w:val="0"/>
        </w:rPr>
        <w:t xml:space="preserve">(Caixa baixa em negrito, fonte Times New Roman tamanho 12)</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Cada trabalho deverá ter no mínimo 3 (três) e no máximo 5 (cinco) páginas, incluindo bibliografia, formatado em fonte Times New Roman, tamanho 12, espaçamento entre linhas de 1,5 e alinhamento justificado. Serão aceitos textos apenas em português. Página tamanho A4 com margens superior e esquerda iguais a 3cm e margens inferior e direita iguais a 2cm. As referências bibliográficas, as legendas e a utilização de quadros, tabelas, gráficos e imagens devem estar de acordo com as normas da ABNT. Arquivo deve ser salvo no formato .doc ou .docx (Word).</w:t>
      </w:r>
    </w:p>
    <w:p w:rsidR="00000000" w:rsidDel="00000000" w:rsidP="00000000" w:rsidRDefault="00000000" w:rsidRPr="00000000" w14:paraId="00000025">
      <w:pPr>
        <w:spacing w:after="0" w:line="360" w:lineRule="auto"/>
        <w:jc w:val="both"/>
        <w:rPr>
          <w:rFonts w:ascii="Times New Roman" w:cs="Times New Roman" w:eastAsia="Times New Roman" w:hAnsi="Times New Roman"/>
          <w:color w:val="ff0000"/>
          <w:sz w:val="24"/>
          <w:szCs w:val="24"/>
          <w:vertAlign w:val="baseline"/>
        </w:rPr>
      </w:pPr>
      <w:r w:rsidDel="00000000" w:rsidR="00000000" w:rsidRPr="00000000">
        <w:rPr>
          <w:rFonts w:ascii="Times New Roman" w:cs="Times New Roman" w:eastAsia="Times New Roman" w:hAnsi="Times New Roman"/>
          <w:color w:val="ff0000"/>
          <w:sz w:val="24"/>
          <w:szCs w:val="24"/>
          <w:vertAlign w:val="baseline"/>
          <w:rtl w:val="0"/>
        </w:rPr>
        <w:t xml:space="preserve">. </w:t>
      </w:r>
    </w:p>
    <w:p w:rsidR="00000000" w:rsidDel="00000000" w:rsidP="00000000" w:rsidRDefault="00000000" w:rsidRPr="00000000" w14:paraId="00000026">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Conclusões ou considerações finais </w:t>
      </w:r>
      <w:r w:rsidDel="00000000" w:rsidR="00000000" w:rsidRPr="00000000">
        <w:rPr>
          <w:rFonts w:ascii="Times New Roman" w:cs="Times New Roman" w:eastAsia="Times New Roman" w:hAnsi="Times New Roman"/>
          <w:b w:val="1"/>
          <w:color w:val="ff0000"/>
          <w:sz w:val="24"/>
          <w:szCs w:val="24"/>
          <w:vertAlign w:val="baseline"/>
          <w:rtl w:val="0"/>
        </w:rPr>
        <w:t xml:space="preserve">(Caixa baixa em negrito, fonte Times New Roman tamanho 12)</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Cada trabalho deverá ter no mínimo 3 (três) e no máximo 5 (cinco) páginas, incluindo bibliografia, formatado em fonte Times New Roman, tamanho 12, espaçamento entre linhas de 1,5 e alinhamento justificado. Serão aceitos textos apenas em português. Página tamanho A4 com margens superior e esquerda iguais a 3cm e margens inferior e direita iguais a 2cm. As referências bibliográficas, as legendas e a utilização de quadros, tabelas, gráficos e imagens devem estar de acordo com as normas da ABNT. Arquivo deve ser salvo no formato .doc ou .docx (Word).</w:t>
      </w:r>
    </w:p>
    <w:p w:rsidR="00000000" w:rsidDel="00000000" w:rsidP="00000000" w:rsidRDefault="00000000" w:rsidRPr="00000000" w14:paraId="00000028">
      <w:pPr>
        <w:spacing w:line="36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29">
      <w:pPr>
        <w:spacing w:line="36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Referências </w:t>
      </w:r>
      <w:r w:rsidDel="00000000" w:rsidR="00000000" w:rsidRPr="00000000">
        <w:rPr>
          <w:rFonts w:ascii="Times New Roman" w:cs="Times New Roman" w:eastAsia="Times New Roman" w:hAnsi="Times New Roman"/>
          <w:b w:val="1"/>
          <w:color w:val="ff0000"/>
          <w:sz w:val="24"/>
          <w:szCs w:val="24"/>
          <w:vertAlign w:val="baseline"/>
          <w:rtl w:val="0"/>
        </w:rPr>
        <w:t xml:space="preserve">(Caixa baixa em negrito, fonte Times New Roman tamanho 12)</w:t>
      </w:r>
      <w:r w:rsidDel="00000000" w:rsidR="00000000" w:rsidRPr="00000000">
        <w:rPr>
          <w:rtl w:val="0"/>
        </w:rPr>
      </w:r>
    </w:p>
    <w:p w:rsidR="00000000" w:rsidDel="00000000" w:rsidP="00000000" w:rsidRDefault="00000000" w:rsidRPr="00000000" w14:paraId="0000002A">
      <w:pPr>
        <w:spacing w:line="360" w:lineRule="auto"/>
        <w:ind w:firstLine="708"/>
        <w:jc w:val="both"/>
        <w:rPr>
          <w:rFonts w:ascii="Times New Roman" w:cs="Times New Roman" w:eastAsia="Times New Roman" w:hAnsi="Times New Roman"/>
          <w:color w:val="ff0000"/>
          <w:sz w:val="24"/>
          <w:szCs w:val="24"/>
          <w:vertAlign w:val="baseline"/>
        </w:rPr>
      </w:pPr>
      <w:r w:rsidDel="00000000" w:rsidR="00000000" w:rsidRPr="00000000">
        <w:rPr>
          <w:rFonts w:ascii="Times New Roman" w:cs="Times New Roman" w:eastAsia="Times New Roman" w:hAnsi="Times New Roman"/>
          <w:color w:val="ff0000"/>
          <w:sz w:val="24"/>
          <w:szCs w:val="24"/>
          <w:vertAlign w:val="baseline"/>
          <w:rtl w:val="0"/>
        </w:rPr>
        <w:t xml:space="preserve">As referências deverão estar em ordem alfabética e formatadas de acordo com as normas da ABNT.</w:t>
      </w:r>
    </w:p>
    <w:p w:rsidR="00000000" w:rsidDel="00000000" w:rsidP="00000000" w:rsidRDefault="00000000" w:rsidRPr="00000000" w14:paraId="0000002B">
      <w:pPr>
        <w:spacing w:line="360" w:lineRule="auto"/>
        <w:jc w:val="both"/>
        <w:rPr>
          <w:rFonts w:ascii="Times New Roman" w:cs="Times New Roman" w:eastAsia="Times New Roman" w:hAnsi="Times New Roman"/>
          <w:color w:val="ff0000"/>
          <w:sz w:val="24"/>
          <w:szCs w:val="24"/>
          <w:vertAlign w:val="baseline"/>
        </w:rPr>
      </w:pPr>
      <w:r w:rsidDel="00000000" w:rsidR="00000000" w:rsidRPr="00000000">
        <w:rPr>
          <w:rFonts w:ascii="Times New Roman" w:cs="Times New Roman" w:eastAsia="Times New Roman" w:hAnsi="Times New Roman"/>
          <w:color w:val="ff0000"/>
          <w:sz w:val="24"/>
          <w:szCs w:val="24"/>
          <w:vertAlign w:val="baseline"/>
          <w:rtl w:val="0"/>
        </w:rPr>
        <w:t xml:space="preserve">Exemplos:</w:t>
      </w:r>
    </w:p>
    <w:p w:rsidR="00000000" w:rsidDel="00000000" w:rsidP="00000000" w:rsidRDefault="00000000" w:rsidRPr="00000000" w14:paraId="0000002C">
      <w:pPr>
        <w:spacing w:line="360" w:lineRule="auto"/>
        <w:jc w:val="both"/>
        <w:rPr>
          <w:rFonts w:ascii="Times New Roman" w:cs="Times New Roman" w:eastAsia="Times New Roman" w:hAnsi="Times New Roman"/>
          <w:color w:val="ff0000"/>
          <w:sz w:val="24"/>
          <w:szCs w:val="24"/>
          <w:highlight w:val="white"/>
          <w:vertAlign w:val="baseline"/>
        </w:rPr>
      </w:pPr>
      <w:r w:rsidDel="00000000" w:rsidR="00000000" w:rsidRPr="00000000">
        <w:rPr>
          <w:rFonts w:ascii="Times New Roman" w:cs="Times New Roman" w:eastAsia="Times New Roman" w:hAnsi="Times New Roman"/>
          <w:color w:val="ff0000"/>
          <w:sz w:val="24"/>
          <w:szCs w:val="24"/>
          <w:highlight w:val="white"/>
          <w:vertAlign w:val="baseline"/>
          <w:rtl w:val="0"/>
        </w:rPr>
        <w:t xml:space="preserve">ARROYO, Miguel A educação de jovens e adultos em tempo de exclusão. In: </w:t>
      </w:r>
      <w:r w:rsidDel="00000000" w:rsidR="00000000" w:rsidRPr="00000000">
        <w:rPr>
          <w:rFonts w:ascii="Times New Roman" w:cs="Times New Roman" w:eastAsia="Times New Roman" w:hAnsi="Times New Roman"/>
          <w:i w:val="1"/>
          <w:color w:val="ff0000"/>
          <w:sz w:val="24"/>
          <w:szCs w:val="24"/>
          <w:highlight w:val="white"/>
          <w:vertAlign w:val="baseline"/>
          <w:rtl w:val="0"/>
        </w:rPr>
        <w:t xml:space="preserve">Construção coletiva: contribuições à educação de jovens e adultos</w:t>
      </w:r>
      <w:r w:rsidDel="00000000" w:rsidR="00000000" w:rsidRPr="00000000">
        <w:rPr>
          <w:rFonts w:ascii="Times New Roman" w:cs="Times New Roman" w:eastAsia="Times New Roman" w:hAnsi="Times New Roman"/>
          <w:color w:val="ff0000"/>
          <w:sz w:val="24"/>
          <w:szCs w:val="24"/>
          <w:highlight w:val="white"/>
          <w:vertAlign w:val="baseline"/>
          <w:rtl w:val="0"/>
        </w:rPr>
        <w:t xml:space="preserve">. Brasília: UNESCO, MEC, RAAAB, p. 221-230, 2005. </w:t>
      </w:r>
    </w:p>
    <w:p w:rsidR="00000000" w:rsidDel="00000000" w:rsidP="00000000" w:rsidRDefault="00000000" w:rsidRPr="00000000" w14:paraId="0000002D">
      <w:pPr>
        <w:spacing w:line="360" w:lineRule="auto"/>
        <w:jc w:val="both"/>
        <w:rPr>
          <w:rFonts w:ascii="Times New Roman" w:cs="Times New Roman" w:eastAsia="Times New Roman" w:hAnsi="Times New Roman"/>
          <w:color w:val="ff0000"/>
          <w:sz w:val="24"/>
          <w:szCs w:val="24"/>
          <w:highlight w:val="white"/>
          <w:vertAlign w:val="baseline"/>
        </w:rPr>
      </w:pPr>
      <w:r w:rsidDel="00000000" w:rsidR="00000000" w:rsidRPr="00000000">
        <w:rPr>
          <w:rFonts w:ascii="Times New Roman" w:cs="Times New Roman" w:eastAsia="Times New Roman" w:hAnsi="Times New Roman"/>
          <w:color w:val="ff0000"/>
          <w:sz w:val="24"/>
          <w:szCs w:val="24"/>
          <w:highlight w:val="white"/>
          <w:vertAlign w:val="baseline"/>
          <w:rtl w:val="0"/>
        </w:rPr>
        <w:t xml:space="preserve">HADDAD, Sérgio; DI PIERRO, Maria Clara. Escolarização de jovens e adultos. </w:t>
      </w:r>
      <w:r w:rsidDel="00000000" w:rsidR="00000000" w:rsidRPr="00000000">
        <w:rPr>
          <w:rFonts w:ascii="Times New Roman" w:cs="Times New Roman" w:eastAsia="Times New Roman" w:hAnsi="Times New Roman"/>
          <w:i w:val="1"/>
          <w:color w:val="ff0000"/>
          <w:sz w:val="24"/>
          <w:szCs w:val="24"/>
          <w:highlight w:val="white"/>
          <w:vertAlign w:val="baseline"/>
          <w:rtl w:val="0"/>
        </w:rPr>
        <w:t xml:space="preserve">Revista Brasileira de Educação</w:t>
      </w:r>
      <w:r w:rsidDel="00000000" w:rsidR="00000000" w:rsidRPr="00000000">
        <w:rPr>
          <w:rFonts w:ascii="Times New Roman" w:cs="Times New Roman" w:eastAsia="Times New Roman" w:hAnsi="Times New Roman"/>
          <w:color w:val="ff0000"/>
          <w:sz w:val="24"/>
          <w:szCs w:val="24"/>
          <w:highlight w:val="white"/>
          <w:vertAlign w:val="baseline"/>
          <w:rtl w:val="0"/>
        </w:rPr>
        <w:t xml:space="preserve">. n. 14, mai.jun.jul.ago, p. 108-130, 2000.  </w:t>
      </w:r>
    </w:p>
    <w:p w:rsidR="00000000" w:rsidDel="00000000" w:rsidP="00000000" w:rsidRDefault="00000000" w:rsidRPr="00000000" w14:paraId="0000002E">
      <w:pPr>
        <w:spacing w:line="360" w:lineRule="auto"/>
        <w:jc w:val="both"/>
        <w:rPr>
          <w:rFonts w:ascii="Times New Roman" w:cs="Times New Roman" w:eastAsia="Times New Roman" w:hAnsi="Times New Roman"/>
          <w:color w:val="ff0000"/>
          <w:sz w:val="24"/>
          <w:szCs w:val="24"/>
          <w:vertAlign w:val="baseline"/>
        </w:rPr>
      </w:pPr>
      <w:r w:rsidDel="00000000" w:rsidR="00000000" w:rsidRPr="00000000">
        <w:rPr>
          <w:rFonts w:ascii="Times New Roman" w:cs="Times New Roman" w:eastAsia="Times New Roman" w:hAnsi="Times New Roman"/>
          <w:color w:val="ff0000"/>
          <w:sz w:val="24"/>
          <w:szCs w:val="24"/>
          <w:highlight w:val="white"/>
          <w:vertAlign w:val="baseline"/>
          <w:rtl w:val="0"/>
        </w:rPr>
        <w:t xml:space="preserve">NICODEMOS, Alessandra; SERRA, Enio. Educação de Jovens e Adultos em contexto pandêmico: entre o remoto e a invisibilidade nas políticas curriculares. </w:t>
      </w:r>
      <w:r w:rsidDel="00000000" w:rsidR="00000000" w:rsidRPr="00000000">
        <w:rPr>
          <w:rFonts w:ascii="Times New Roman" w:cs="Times New Roman" w:eastAsia="Times New Roman" w:hAnsi="Times New Roman"/>
          <w:i w:val="1"/>
          <w:color w:val="ff0000"/>
          <w:sz w:val="24"/>
          <w:szCs w:val="24"/>
          <w:highlight w:val="white"/>
          <w:vertAlign w:val="baseline"/>
          <w:rtl w:val="0"/>
        </w:rPr>
        <w:t xml:space="preserve">Currículo sem Fronteiras</w:t>
      </w:r>
      <w:r w:rsidDel="00000000" w:rsidR="00000000" w:rsidRPr="00000000">
        <w:rPr>
          <w:rFonts w:ascii="Times New Roman" w:cs="Times New Roman" w:eastAsia="Times New Roman" w:hAnsi="Times New Roman"/>
          <w:color w:val="ff0000"/>
          <w:sz w:val="24"/>
          <w:szCs w:val="24"/>
          <w:highlight w:val="white"/>
          <w:vertAlign w:val="baseline"/>
          <w:rtl w:val="0"/>
        </w:rPr>
        <w:t xml:space="preserve">, v. 20, n. 3, p. 871-892, set./dez. 2020. </w:t>
      </w:r>
      <w:r w:rsidDel="00000000" w:rsidR="00000000" w:rsidRPr="00000000">
        <w:rPr>
          <w:rtl w:val="0"/>
        </w:rPr>
      </w:r>
    </w:p>
    <w:sectPr>
      <w:headerReference r:id="rId8" w:type="default"/>
      <w:headerReference r:id="rId9" w:type="first"/>
      <w:footerReference r:id="rId10"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345"/>
      </w:tabs>
      <w:spacing w:after="0" w:before="0" w:line="240" w:lineRule="auto"/>
      <w:ind w:left="0" w:right="0" w:firstLine="0"/>
      <w:jc w:val="center"/>
      <w:rPr>
        <w:rFonts w:ascii="Times New Roman" w:cs="Times New Roman" w:eastAsia="Times New Roman" w:hAnsi="Times New Roman"/>
        <w:i w:val="0"/>
        <w:smallCaps w:val="0"/>
        <w:strike w:val="0"/>
        <w:sz w:val="20"/>
        <w:szCs w:val="20"/>
        <w:u w:val="none"/>
        <w:shd w:fill="auto" w:val="clear"/>
        <w:vertAlign w:val="baseline"/>
      </w:rPr>
    </w:pPr>
    <w:r w:rsidDel="00000000" w:rsidR="00000000" w:rsidRPr="00000000">
      <w:rPr>
        <w:rFonts w:ascii="Times New Roman" w:cs="Times New Roman" w:eastAsia="Times New Roman" w:hAnsi="Times New Roman"/>
        <w:sz w:val="20"/>
        <w:szCs w:val="20"/>
        <w:rtl w:val="0"/>
      </w:rPr>
      <w:t xml:space="preserve">5</w:t>
    </w:r>
    <w:r w:rsidDel="00000000" w:rsidR="00000000" w:rsidRPr="00000000">
      <w:rPr>
        <w:rFonts w:ascii="Times New Roman" w:cs="Times New Roman" w:eastAsia="Times New Roman" w:hAnsi="Times New Roman"/>
        <w:sz w:val="20"/>
        <w:szCs w:val="20"/>
        <w:vertAlign w:val="superscript"/>
        <w:rtl w:val="0"/>
      </w:rPr>
      <w:t xml:space="preserve">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Seminário do Laboratório de Investigação, Ensino e Extensão em Educação de Jovens e Adultos </w:t>
    </w:r>
    <w:r w:rsidDel="00000000" w:rsidR="00000000" w:rsidRPr="00000000">
      <w:rPr>
        <w:rFonts w:ascii="Times New Roman" w:cs="Times New Roman" w:eastAsia="Times New Roman" w:hAnsi="Times New Roman"/>
        <w:i w:val="0"/>
        <w:smallCaps w:val="0"/>
        <w:strike w:val="0"/>
        <w:sz w:val="20"/>
        <w:szCs w:val="20"/>
        <w:u w:val="none"/>
        <w:shd w:fill="auto" w:val="clear"/>
        <w:vertAlign w:val="baseline"/>
        <w:rtl w:val="0"/>
      </w:rPr>
      <w:t xml:space="preserve"> </w:t>
      <w:br w:type="textWrapping"/>
    </w:r>
    <w:r w:rsidDel="00000000" w:rsidR="00000000" w:rsidRPr="00000000">
      <w:rPr>
        <w:rFonts w:ascii="Times New Roman" w:cs="Times New Roman" w:eastAsia="Times New Roman" w:hAnsi="Times New Roman"/>
        <w:sz w:val="20"/>
        <w:szCs w:val="20"/>
        <w:rtl w:val="0"/>
      </w:rPr>
      <w:t xml:space="preserve">Universidade Federal do Rio de Janeiro</w:t>
    </w:r>
    <w:r w:rsidDel="00000000" w:rsidR="00000000" w:rsidRPr="00000000">
      <w:rPr>
        <w:rFonts w:ascii="Times New Roman" w:cs="Times New Roman" w:eastAsia="Times New Roman" w:hAnsi="Times New Roman"/>
        <w:i w:val="0"/>
        <w:smallCaps w:val="0"/>
        <w:strike w:val="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sz w:val="20"/>
        <w:szCs w:val="20"/>
        <w:rtl w:val="0"/>
      </w:rPr>
      <w:t xml:space="preserve">Rio de Janeiro</w:t>
    </w:r>
    <w:r w:rsidDel="00000000" w:rsidR="00000000" w:rsidRPr="00000000">
      <w:rPr>
        <w:rFonts w:ascii="Times New Roman" w:cs="Times New Roman" w:eastAsia="Times New Roman" w:hAnsi="Times New Roman"/>
        <w:i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 RJ,</w:t>
    </w:r>
    <w:r w:rsidDel="00000000" w:rsidR="00000000" w:rsidRPr="00000000">
      <w:rPr>
        <w:rFonts w:ascii="Times New Roman" w:cs="Times New Roman" w:eastAsia="Times New Roman" w:hAnsi="Times New Roman"/>
        <w:i w:val="0"/>
        <w:smallCaps w:val="0"/>
        <w:strike w:val="0"/>
        <w:sz w:val="20"/>
        <w:szCs w:val="20"/>
        <w:u w:val="none"/>
        <w:shd w:fill="auto" w:val="clear"/>
        <w:vertAlign w:val="baseline"/>
        <w:rtl w:val="0"/>
      </w:rPr>
      <w:t xml:space="preserve"> Brasil – 2</w:t>
    </w:r>
    <w:r w:rsidDel="00000000" w:rsidR="00000000" w:rsidRPr="00000000">
      <w:rPr>
        <w:rFonts w:ascii="Times New Roman" w:cs="Times New Roman" w:eastAsia="Times New Roman" w:hAnsi="Times New Roman"/>
        <w:sz w:val="20"/>
        <w:szCs w:val="20"/>
        <w:rtl w:val="0"/>
      </w:rPr>
      <w:t xml:space="preserve">9</w:t>
    </w:r>
    <w:r w:rsidDel="00000000" w:rsidR="00000000" w:rsidRPr="00000000">
      <w:rPr>
        <w:rFonts w:ascii="Times New Roman" w:cs="Times New Roman" w:eastAsia="Times New Roman" w:hAnsi="Times New Roman"/>
        <w:i w:val="0"/>
        <w:smallCaps w:val="0"/>
        <w:strike w:val="0"/>
        <w:sz w:val="20"/>
        <w:szCs w:val="20"/>
        <w:u w:val="none"/>
        <w:shd w:fill="auto" w:val="clear"/>
        <w:vertAlign w:val="baseline"/>
        <w:rtl w:val="0"/>
      </w:rPr>
      <w:t xml:space="preserve"> a </w:t>
    </w:r>
    <w:r w:rsidDel="00000000" w:rsidR="00000000" w:rsidRPr="00000000">
      <w:rPr>
        <w:rFonts w:ascii="Times New Roman" w:cs="Times New Roman" w:eastAsia="Times New Roman" w:hAnsi="Times New Roman"/>
        <w:sz w:val="20"/>
        <w:szCs w:val="20"/>
        <w:rtl w:val="0"/>
      </w:rPr>
      <w:t xml:space="preserve">31</w:t>
    </w:r>
    <w:r w:rsidDel="00000000" w:rsidR="00000000" w:rsidRPr="00000000">
      <w:rPr>
        <w:rFonts w:ascii="Times New Roman" w:cs="Times New Roman" w:eastAsia="Times New Roman" w:hAnsi="Times New Roman"/>
        <w:i w:val="0"/>
        <w:smallCaps w:val="0"/>
        <w:strike w:val="0"/>
        <w:sz w:val="20"/>
        <w:szCs w:val="20"/>
        <w:u w:val="none"/>
        <w:shd w:fill="auto" w:val="clear"/>
        <w:vertAlign w:val="baseline"/>
        <w:rtl w:val="0"/>
      </w:rPr>
      <w:t xml:space="preserve"> de </w:t>
    </w:r>
    <w:r w:rsidDel="00000000" w:rsidR="00000000" w:rsidRPr="00000000">
      <w:rPr>
        <w:rFonts w:ascii="Times New Roman" w:cs="Times New Roman" w:eastAsia="Times New Roman" w:hAnsi="Times New Roman"/>
        <w:sz w:val="20"/>
        <w:szCs w:val="20"/>
        <w:rtl w:val="0"/>
      </w:rPr>
      <w:t xml:space="preserve">abril</w:t>
    </w:r>
    <w:r w:rsidDel="00000000" w:rsidR="00000000" w:rsidRPr="00000000">
      <w:rPr>
        <w:rFonts w:ascii="Times New Roman" w:cs="Times New Roman" w:eastAsia="Times New Roman" w:hAnsi="Times New Roman"/>
        <w:i w:val="0"/>
        <w:smallCaps w:val="0"/>
        <w:strike w:val="0"/>
        <w:sz w:val="20"/>
        <w:szCs w:val="20"/>
        <w:u w:val="none"/>
        <w:shd w:fill="auto" w:val="clear"/>
        <w:vertAlign w:val="baseline"/>
        <w:rtl w:val="0"/>
      </w:rPr>
      <w:t xml:space="preserve"> de 202</w:t>
    </w:r>
    <w:r w:rsidDel="00000000" w:rsidR="00000000" w:rsidRPr="00000000">
      <w:rPr>
        <w:rFonts w:ascii="Times New Roman" w:cs="Times New Roman" w:eastAsia="Times New Roman" w:hAnsi="Times New Roman"/>
        <w:sz w:val="20"/>
        <w:szCs w:val="20"/>
        <w:rtl w:val="0"/>
      </w:rPr>
      <w:t xml:space="preserve">5</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jc w:val="center"/>
      <w:rPr>
        <w:rFonts w:ascii="Arial" w:cs="Arial" w:eastAsia="Arial" w:hAnsi="Arial"/>
        <w:b w:val="0"/>
        <w:color w:val="806000"/>
        <w:sz w:val="20"/>
        <w:szCs w:val="20"/>
        <w:vertAlign w:val="baseline"/>
      </w:rPr>
    </w:pPr>
    <w:r w:rsidDel="00000000" w:rsidR="00000000" w:rsidRPr="00000000">
      <w:rPr>
        <w:rFonts w:ascii="Arial" w:cs="Arial" w:eastAsia="Arial" w:hAnsi="Arial"/>
        <w:b w:val="1"/>
        <w:color w:val="538135"/>
        <w:sz w:val="20"/>
        <w:szCs w:val="20"/>
        <w:vertAlign w:val="baseline"/>
        <w:rtl w:val="0"/>
      </w:rPr>
      <w:t xml:space="preserve">VI Encontro Regional de Ensino de Biologia</w:t>
    </w:r>
    <w:r w:rsidDel="00000000" w:rsidR="00000000" w:rsidRPr="00000000">
      <w:rPr>
        <w:rFonts w:ascii="Arial" w:cs="Arial" w:eastAsia="Arial" w:hAnsi="Arial"/>
        <w:b w:val="1"/>
        <w:sz w:val="20"/>
        <w:szCs w:val="20"/>
        <w:vertAlign w:val="baseline"/>
        <w:rtl w:val="0"/>
      </w:rPr>
      <w:br w:type="textWrapping"/>
    </w:r>
    <w:r w:rsidDel="00000000" w:rsidR="00000000" w:rsidRPr="00000000">
      <w:rPr>
        <w:rFonts w:ascii="Arial" w:cs="Arial" w:eastAsia="Arial" w:hAnsi="Arial"/>
        <w:b w:val="1"/>
        <w:color w:val="806000"/>
        <w:sz w:val="20"/>
        <w:szCs w:val="20"/>
        <w:vertAlign w:val="baseline"/>
        <w:rtl w:val="0"/>
      </w:rPr>
      <w:t xml:space="preserve">Das críticas às Ciências ao enfrentamento dos negacionismos:  qual o papel do Ensino de Biologia?</w:t>
    </w:r>
    <w:r w:rsidDel="00000000" w:rsidR="00000000" w:rsidRPr="00000000">
      <w:rPr>
        <w:rtl w:val="0"/>
      </w:rPr>
    </w:r>
  </w:p>
  <w:p w:rsidR="00000000" w:rsidDel="00000000" w:rsidP="00000000" w:rsidRDefault="00000000" w:rsidRPr="00000000" w14:paraId="00000030">
    <w:pPr>
      <w:rPr>
        <w:rFonts w:ascii="Arial" w:cs="Arial" w:eastAsia="Arial" w:hAnsi="Arial"/>
        <w:b w:val="0"/>
        <w:sz w:val="20"/>
        <w:szCs w:val="20"/>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Arial" w:cs="Arial" w:eastAsia="Arial" w:hAnsi="Arial"/>
        <w:b w:val="0"/>
        <w:i w:val="0"/>
        <w:smallCaps w:val="0"/>
        <w:strike w:val="0"/>
        <w:color w:val="806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Arial" w:cs="Arial" w:eastAsia="Arial" w:hAnsi="Arial"/>
        <w:b w:val="0"/>
        <w:i w:val="0"/>
        <w:smallCaps w:val="0"/>
        <w:strike w:val="0"/>
        <w:color w:val="538135"/>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paragraph" w:styleId="Cabeçalho">
    <w:name w:val="Cabeçalho"/>
    <w:basedOn w:val="Normal"/>
    <w:next w:val="Cabeçalho"/>
    <w:autoRedefine w:val="0"/>
    <w:hidden w:val="0"/>
    <w:qFormat w:val="1"/>
    <w:pPr>
      <w:suppressAutoHyphens w:val="1"/>
      <w:spacing w:after="0" w:line="240" w:lineRule="auto"/>
      <w:ind w:leftChars="-1" w:rightChars="0" w:firstLineChars="-1"/>
      <w:textDirection w:val="btLr"/>
      <w:textAlignment w:val="top"/>
      <w:outlineLvl w:val="0"/>
    </w:pPr>
    <w:rPr>
      <w:rFonts w:ascii="Calibri" w:cs="Times New Roman" w:eastAsia="Calibri" w:hAnsi="Calibri"/>
      <w:w w:val="100"/>
      <w:position w:val="-1"/>
      <w:sz w:val="22"/>
      <w:szCs w:val="22"/>
      <w:effect w:val="none"/>
      <w:vertAlign w:val="baseline"/>
      <w:cs w:val="0"/>
      <w:em w:val="none"/>
      <w:lang w:bidi="ar-SA" w:eastAsia="en-US" w:val="pt-BR"/>
    </w:rPr>
  </w:style>
  <w:style w:type="character" w:styleId="CabeçalhoChar">
    <w:name w:val="Cabeçalho Char"/>
    <w:basedOn w:val="Fonteparág.padrão"/>
    <w:next w:val="CabeçalhoChar"/>
    <w:autoRedefine w:val="0"/>
    <w:hidden w:val="0"/>
    <w:qFormat w:val="0"/>
    <w:rPr>
      <w:w w:val="100"/>
      <w:position w:val="-1"/>
      <w:effect w:val="none"/>
      <w:vertAlign w:val="baseline"/>
      <w:cs w:val="0"/>
      <w:em w:val="none"/>
      <w:lang/>
    </w:rPr>
  </w:style>
  <w:style w:type="paragraph" w:styleId="Rodapé">
    <w:name w:val="Rodapé"/>
    <w:basedOn w:val="Normal"/>
    <w:next w:val="Rodapé"/>
    <w:autoRedefine w:val="0"/>
    <w:hidden w:val="0"/>
    <w:qFormat w:val="1"/>
    <w:pPr>
      <w:suppressAutoHyphens w:val="1"/>
      <w:spacing w:after="0" w:line="240" w:lineRule="auto"/>
      <w:ind w:leftChars="-1" w:rightChars="0" w:firstLineChars="-1"/>
      <w:textDirection w:val="btLr"/>
      <w:textAlignment w:val="top"/>
      <w:outlineLvl w:val="0"/>
    </w:pPr>
    <w:rPr>
      <w:rFonts w:ascii="Calibri" w:cs="Times New Roman" w:eastAsia="Calibri" w:hAnsi="Calibri"/>
      <w:w w:val="100"/>
      <w:position w:val="-1"/>
      <w:sz w:val="22"/>
      <w:szCs w:val="22"/>
      <w:effect w:val="none"/>
      <w:vertAlign w:val="baseline"/>
      <w:cs w:val="0"/>
      <w:em w:val="none"/>
      <w:lang w:bidi="ar-SA" w:eastAsia="en-US" w:val="pt-BR"/>
    </w:rPr>
  </w:style>
  <w:style w:type="character" w:styleId="RodapéChar">
    <w:name w:val="Rodapé Char"/>
    <w:basedOn w:val="Fonteparág.padrão"/>
    <w:next w:val="RodapéChar"/>
    <w:autoRedefine w:val="0"/>
    <w:hidden w:val="0"/>
    <w:qFormat w:val="0"/>
    <w:rPr>
      <w:w w:val="100"/>
      <w:position w:val="-1"/>
      <w:effect w:val="none"/>
      <w:vertAlign w:val="baseline"/>
      <w:cs w:val="0"/>
      <w:em w:val="none"/>
      <w:lang/>
    </w:rPr>
  </w:style>
  <w:style w:type="paragraph" w:styleId="Textodenotaderodapé">
    <w:name w:val="Texto de nota de rodapé"/>
    <w:basedOn w:val="Normal"/>
    <w:next w:val="Textodenotaderodapé"/>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pt-BR"/>
    </w:rPr>
  </w:style>
  <w:style w:type="character" w:styleId="TextodenotaderodapéChar">
    <w:name w:val="Texto de nota de rodapé Char"/>
    <w:next w:val="TextodenotaderodapéChar"/>
    <w:autoRedefine w:val="0"/>
    <w:hidden w:val="0"/>
    <w:qFormat w:val="0"/>
    <w:rPr>
      <w:rFonts w:ascii="Calibri" w:cs="Times New Roman" w:eastAsia="Calibri" w:hAnsi="Calibri"/>
      <w:w w:val="100"/>
      <w:position w:val="-1"/>
      <w:sz w:val="20"/>
      <w:szCs w:val="20"/>
      <w:effect w:val="none"/>
      <w:vertAlign w:val="baseline"/>
      <w:cs w:val="0"/>
      <w:em w:val="none"/>
      <w:lang/>
    </w:rPr>
  </w:style>
  <w:style w:type="character" w:styleId="Ref.denotaderodapé">
    <w:name w:val="Ref. de nota de rodapé"/>
    <w:next w:val="Ref.denotaderodapé"/>
    <w:autoRedefine w:val="0"/>
    <w:hidden w:val="0"/>
    <w:qFormat w:val="1"/>
    <w:rPr>
      <w:w w:val="100"/>
      <w:position w:val="-1"/>
      <w:effect w:val="none"/>
      <w:vertAlign w:val="superscript"/>
      <w:cs w:val="0"/>
      <w:em w:val="none"/>
      <w:lang/>
    </w:rPr>
  </w:style>
  <w:style w:type="table" w:styleId="Tabelacomgrade">
    <w:name w:val="Tabela com grade"/>
    <w:basedOn w:val="Tabelanormal"/>
    <w:next w:val="Tabelacomgrade"/>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elacomgrade"/>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character" w:styleId="Ref.decomentário">
    <w:name w:val="Ref. de comentário"/>
    <w:next w:val="Ref.decomentário"/>
    <w:autoRedefine w:val="0"/>
    <w:hidden w:val="0"/>
    <w:qFormat w:val="1"/>
    <w:rPr>
      <w:w w:val="100"/>
      <w:position w:val="-1"/>
      <w:sz w:val="16"/>
      <w:szCs w:val="16"/>
      <w:effect w:val="none"/>
      <w:vertAlign w:val="baseline"/>
      <w:cs w:val="0"/>
      <w:em w:val="none"/>
      <w:lang/>
    </w:rPr>
  </w:style>
  <w:style w:type="paragraph" w:styleId="Textodecomentário">
    <w:name w:val="Texto de comentário"/>
    <w:basedOn w:val="Normal"/>
    <w:next w:val="Textodecomentário"/>
    <w:autoRedefine w:val="0"/>
    <w:hidden w:val="0"/>
    <w:qFormat w:val="1"/>
    <w:pPr>
      <w:suppressAutoHyphens w:val="1"/>
      <w:spacing w:after="160" w:line="259"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pt-BR"/>
    </w:rPr>
  </w:style>
  <w:style w:type="character" w:styleId="TextodecomentárioChar">
    <w:name w:val="Texto de comentário Char"/>
    <w:next w:val="TextodecomentárioChar"/>
    <w:autoRedefine w:val="0"/>
    <w:hidden w:val="0"/>
    <w:qFormat w:val="0"/>
    <w:rPr>
      <w:w w:val="100"/>
      <w:position w:val="-1"/>
      <w:effect w:val="none"/>
      <w:vertAlign w:val="baseline"/>
      <w:cs w:val="0"/>
      <w:em w:val="none"/>
      <w:lang w:eastAsia="en-US"/>
    </w:rPr>
  </w:style>
  <w:style w:type="paragraph" w:styleId="Assuntodocomentário">
    <w:name w:val="Assunto do comentário"/>
    <w:basedOn w:val="Textodecomentário"/>
    <w:next w:val="Textodecomentário"/>
    <w:autoRedefine w:val="0"/>
    <w:hidden w:val="0"/>
    <w:qFormat w:val="1"/>
    <w:pPr>
      <w:suppressAutoHyphens w:val="1"/>
      <w:spacing w:after="160" w:line="259"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pt-BR"/>
    </w:rPr>
  </w:style>
  <w:style w:type="character" w:styleId="AssuntodocomentárioChar">
    <w:name w:val="Assunto do comentário Char"/>
    <w:next w:val="AssuntodocomentárioChar"/>
    <w:autoRedefine w:val="0"/>
    <w:hidden w:val="0"/>
    <w:qFormat w:val="0"/>
    <w:rPr>
      <w:b w:val="1"/>
      <w:bCs w:val="1"/>
      <w:w w:val="100"/>
      <w:position w:val="-1"/>
      <w:effect w:val="none"/>
      <w:vertAlign w:val="baseline"/>
      <w:cs w:val="0"/>
      <w:em w:val="none"/>
      <w:lang w:eastAsia="en-US"/>
    </w:rPr>
  </w:style>
  <w:style w:type="paragraph" w:styleId="Textodebalão">
    <w:name w:val="Texto de balão"/>
    <w:basedOn w:val="Normal"/>
    <w:next w:val="Textodebalão"/>
    <w:autoRedefine w:val="0"/>
    <w:hidden w:val="0"/>
    <w:qFormat w:val="1"/>
    <w:pPr>
      <w:suppressAutoHyphens w:val="1"/>
      <w:spacing w:after="0" w:line="240" w:lineRule="auto"/>
      <w:ind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en-US" w:val="pt-BR"/>
    </w:rPr>
  </w:style>
  <w:style w:type="character" w:styleId="TextodebalãoChar">
    <w:name w:val="Texto de balão Char"/>
    <w:next w:val="TextodebalãoChar"/>
    <w:autoRedefine w:val="0"/>
    <w:hidden w:val="0"/>
    <w:qFormat w:val="0"/>
    <w:rPr>
      <w:rFonts w:ascii="Segoe UI" w:cs="Segoe UI" w:hAnsi="Segoe UI"/>
      <w:w w:val="100"/>
      <w:position w:val="-1"/>
      <w:sz w:val="18"/>
      <w:szCs w:val="18"/>
      <w:effect w:val="none"/>
      <w:vertAlign w:val="baseline"/>
      <w:cs w:val="0"/>
      <w:em w:val="none"/>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h6rI/ySpyseb00PM08UixKyGew==">CgMxLjA4AHIhMXhNdll1TVFEdi1LanBFbzQ3NWVWbEZrTkU3TEdOTFVO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2025-02-26T02:17:00Z</dcterms:created>
  <dc:creator/>
</cp:coreProperties>
</file>