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bookmarkStart w:colFirst="0" w:colLast="0" w:name="_heading=h.4494p3oanvk1" w:id="0"/>
      <w:bookmarkEnd w:id="0"/>
      <w:r w:rsidDel="00000000" w:rsidR="00000000" w:rsidRPr="00000000">
        <w:rPr>
          <w:rtl w:val="0"/>
        </w:rPr>
        <w:t xml:space="preserve">計畫編號：D-01-0001</w:t>
      </w:r>
    </w:p>
    <w:tbl>
      <w:tblPr>
        <w:tblStyle w:val="Table1"/>
        <w:tblW w:w="9716.0" w:type="dxa"/>
        <w:jc w:val="righ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2738"/>
        <w:gridCol w:w="1784"/>
        <w:gridCol w:w="1704"/>
        <w:gridCol w:w="3490"/>
        <w:tblGridChange w:id="0">
          <w:tblGrid>
            <w:gridCol w:w="2738"/>
            <w:gridCol w:w="1784"/>
            <w:gridCol w:w="1704"/>
            <w:gridCol w:w="3490"/>
          </w:tblGrid>
        </w:tblGridChange>
      </w:tblGrid>
      <w:tr>
        <w:trPr>
          <w:cantSplit w:val="0"/>
          <w:trHeight w:val="891" w:hRule="atLeast"/>
          <w:tblHeader w:val="0"/>
        </w:trPr>
        <w:tc>
          <w:tcPr>
            <w:shd w:fill="auto" w:val="clear"/>
            <w:tcMar>
              <w:top w:w="57.0" w:type="dxa"/>
              <w:bottom w:w="57.0" w:type="dxa"/>
            </w:tcMar>
            <w:vAlign w:val="center"/>
          </w:tcPr>
          <w:p w:rsidR="00000000" w:rsidDel="00000000" w:rsidP="00000000" w:rsidRDefault="00000000" w:rsidRPr="00000000" w14:paraId="00000002">
            <w:pPr>
              <w:jc w:val="center"/>
              <w:rPr>
                <w:b w:val="1"/>
                <w:bCs w:val="1"/>
              </w:rPr>
            </w:pPr>
            <w:r w:rsidDel="00000000" w:rsidR="00000000" w:rsidRPr="00000000">
              <w:rPr>
                <w:b w:val="1"/>
                <w:bCs w:val="1"/>
                <w:rtl w:val="0"/>
              </w:rPr>
              <w:t xml:space="preserve">課程名稱</w:t>
            </w:r>
          </w:p>
        </w:tc>
        <w:tc>
          <w:tcPr>
            <w:gridSpan w:val="3"/>
            <w:shd w:fill="auto" w:val="clear"/>
            <w:tcMar>
              <w:top w:w="57.0" w:type="dxa"/>
              <w:bottom w:w="57.0" w:type="dxa"/>
            </w:tcMar>
            <w:vAlign w:val="center"/>
          </w:tcPr>
          <w:p w:rsidR="00000000" w:rsidDel="00000000" w:rsidP="00000000" w:rsidRDefault="00000000" w:rsidRPr="00000000" w14:paraId="00000003">
            <w:pPr>
              <w:rPr/>
            </w:pPr>
            <w:r w:rsidDel="00000000" w:rsidR="00000000" w:rsidRPr="00000000">
              <w:rPr>
                <w:rtl w:val="0"/>
              </w:rPr>
              <w:t xml:space="preserve">中文：自主學習-跨領域設計思考與智慧生活</w:t>
            </w:r>
          </w:p>
          <w:p w:rsidR="00000000" w:rsidDel="00000000" w:rsidP="00000000" w:rsidRDefault="00000000" w:rsidRPr="00000000" w14:paraId="00000004">
            <w:pPr>
              <w:rPr/>
            </w:pPr>
            <w:r w:rsidDel="00000000" w:rsidR="00000000" w:rsidRPr="00000000">
              <w:rPr>
                <w:rtl w:val="0"/>
              </w:rPr>
              <w:t xml:space="preserve">英文：Autonomous Learning: Interdisciplinary Design Thinking and Intelligent Life</w:t>
            </w:r>
          </w:p>
        </w:tc>
      </w:tr>
      <w:tr>
        <w:trPr>
          <w:cantSplit w:val="0"/>
          <w:trHeight w:val="891" w:hRule="atLeast"/>
          <w:tblHeader w:val="0"/>
        </w:trPr>
        <w:tc>
          <w:tcPr>
            <w:shd w:fill="auto" w:val="clear"/>
            <w:tcMar>
              <w:top w:w="57.0" w:type="dxa"/>
              <w:bottom w:w="57.0" w:type="dxa"/>
            </w:tcMar>
            <w:vAlign w:val="center"/>
          </w:tcPr>
          <w:p w:rsidR="00000000" w:rsidDel="00000000" w:rsidP="00000000" w:rsidRDefault="00000000" w:rsidRPr="00000000" w14:paraId="00000007">
            <w:pPr>
              <w:jc w:val="center"/>
              <w:rPr>
                <w:b w:val="1"/>
                <w:bCs w:val="1"/>
              </w:rPr>
            </w:pPr>
            <w:r w:rsidDel="00000000" w:rsidR="00000000" w:rsidRPr="00000000">
              <w:rPr>
                <w:b w:val="1"/>
                <w:bCs w:val="1"/>
                <w:rtl w:val="0"/>
              </w:rPr>
              <w:t xml:space="preserve">學分數</w:t>
            </w:r>
          </w:p>
        </w:tc>
        <w:tc>
          <w:tcPr>
            <w:shd w:fill="auto" w:val="clear"/>
            <w:tcMar>
              <w:top w:w="57.0" w:type="dxa"/>
              <w:bottom w:w="57.0" w:type="dxa"/>
            </w:tcMar>
            <w:vAlign w:val="center"/>
          </w:tcPr>
          <w:p w:rsidR="00000000" w:rsidDel="00000000" w:rsidP="00000000" w:rsidRDefault="00000000" w:rsidRPr="00000000" w14:paraId="00000008">
            <w:pPr>
              <w:rPr/>
            </w:pPr>
            <w:r w:rsidDel="00000000" w:rsidR="00000000" w:rsidRPr="00000000">
              <w:rPr>
                <w:rtl w:val="0"/>
              </w:rPr>
              <w:t xml:space="preserve">2學分</w:t>
            </w:r>
          </w:p>
        </w:tc>
        <w:tc>
          <w:tcPr>
            <w:shd w:fill="auto" w:val="clear"/>
            <w:vAlign w:val="center"/>
          </w:tcPr>
          <w:p w:rsidR="00000000" w:rsidDel="00000000" w:rsidP="00000000" w:rsidRDefault="00000000" w:rsidRPr="00000000" w14:paraId="00000009">
            <w:pPr>
              <w:rPr>
                <w:b w:val="1"/>
                <w:bCs w:val="1"/>
              </w:rPr>
            </w:pPr>
            <w:r w:rsidDel="00000000" w:rsidR="00000000" w:rsidRPr="00000000">
              <w:rPr>
                <w:b w:val="1"/>
                <w:bCs w:val="1"/>
                <w:rtl w:val="0"/>
              </w:rPr>
              <w:t xml:space="preserve">採計學分領域</w:t>
            </w:r>
          </w:p>
        </w:tc>
        <w:tc>
          <w:tcPr>
            <w:shd w:fill="auto" w:val="clear"/>
            <w:vAlign w:val="cente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4"/>
                <w:szCs w:val="24"/>
                <w:u w:val="none"/>
                <w:shd w:fill="auto" w:val="clear"/>
                <w:vertAlign w:val="baseline"/>
                <w:rtl w:val="0"/>
              </w:rPr>
              <w:t xml:space="preserve">□通識-人文藝術領域</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4"/>
                <w:szCs w:val="24"/>
                <w:u w:val="none"/>
                <w:shd w:fill="auto" w:val="clear"/>
                <w:vertAlign w:val="baseline"/>
                <w:rtl w:val="0"/>
              </w:rPr>
              <w:t xml:space="preserve">通識-自然科技領域</w:t>
            </w:r>
          </w:p>
          <w:p w:rsidR="00000000" w:rsidDel="00000000" w:rsidP="00000000" w:rsidRDefault="00000000" w:rsidRPr="00000000" w14:paraId="0000000C">
            <w:pPr>
              <w:rPr>
                <w:b w:val="1"/>
                <w:bCs w:val="1"/>
              </w:rPr>
            </w:pPr>
            <w:r w:rsidDel="00000000" w:rsidR="00000000" w:rsidRPr="00000000">
              <w:rPr>
                <w:rtl w:val="0"/>
              </w:rPr>
              <w:t xml:space="preserve">□通識-社會科學領域</w:t>
            </w:r>
            <w:r w:rsidDel="00000000" w:rsidR="00000000" w:rsidRPr="00000000">
              <w:rPr>
                <w:rtl w:val="0"/>
              </w:rPr>
            </w:r>
          </w:p>
        </w:tc>
      </w:tr>
      <w:tr>
        <w:trPr>
          <w:cantSplit w:val="0"/>
          <w:trHeight w:val="891" w:hRule="atLeast"/>
          <w:tblHeader w:val="0"/>
        </w:trPr>
        <w:tc>
          <w:tcPr>
            <w:shd w:fill="auto" w:val="clear"/>
            <w:tcMar>
              <w:top w:w="57.0" w:type="dxa"/>
              <w:bottom w:w="57.0" w:type="dxa"/>
            </w:tcMar>
            <w:vAlign w:val="center"/>
          </w:tcPr>
          <w:p w:rsidR="00000000" w:rsidDel="00000000" w:rsidP="00000000" w:rsidRDefault="00000000" w:rsidRPr="00000000" w14:paraId="0000000D">
            <w:pPr>
              <w:jc w:val="center"/>
              <w:rPr>
                <w:b w:val="1"/>
                <w:bCs w:val="1"/>
              </w:rPr>
            </w:pPr>
            <w:r w:rsidDel="00000000" w:rsidR="00000000" w:rsidRPr="00000000">
              <w:rPr>
                <w:b w:val="1"/>
                <w:bCs w:val="1"/>
                <w:rtl w:val="0"/>
              </w:rPr>
              <w:t xml:space="preserve">申請單位</w:t>
            </w:r>
          </w:p>
        </w:tc>
        <w:tc>
          <w:tcPr>
            <w:gridSpan w:val="3"/>
            <w:shd w:fill="auto" w:val="clear"/>
            <w:tcMar>
              <w:top w:w="57.0" w:type="dxa"/>
              <w:bottom w:w="57.0" w:type="dxa"/>
            </w:tcMar>
            <w:vAlign w:val="center"/>
          </w:tcPr>
          <w:p w:rsidR="00000000" w:rsidDel="00000000" w:rsidP="00000000" w:rsidRDefault="00000000" w:rsidRPr="00000000" w14:paraId="0000000E">
            <w:pPr>
              <w:rPr/>
            </w:pPr>
            <w:r w:rsidDel="00000000" w:rsidR="00000000" w:rsidRPr="00000000">
              <w:rPr>
                <w:rtl w:val="0"/>
              </w:rPr>
              <w:t xml:space="preserve">全人教育課程中心</w:t>
            </w:r>
          </w:p>
        </w:tc>
      </w:tr>
      <w:tr>
        <w:trPr>
          <w:cantSplit w:val="0"/>
          <w:trHeight w:val="891" w:hRule="atLeast"/>
          <w:tblHeader w:val="0"/>
        </w:trPr>
        <w:tc>
          <w:tcPr>
            <w:shd w:fill="auto" w:val="clear"/>
            <w:tcMar>
              <w:top w:w="57.0" w:type="dxa"/>
              <w:bottom w:w="57.0" w:type="dxa"/>
            </w:tcMar>
            <w:vAlign w:val="center"/>
          </w:tcPr>
          <w:p w:rsidR="00000000" w:rsidDel="00000000" w:rsidP="00000000" w:rsidRDefault="00000000" w:rsidRPr="00000000" w14:paraId="00000011">
            <w:pPr>
              <w:jc w:val="center"/>
              <w:rPr/>
            </w:pPr>
            <w:r w:rsidDel="00000000" w:rsidR="00000000" w:rsidRPr="00000000">
              <w:rPr>
                <w:b w:val="1"/>
                <w:bCs w:val="1"/>
                <w:rtl w:val="0"/>
              </w:rPr>
              <w:t xml:space="preserve">自主學習課程類型</w:t>
            </w:r>
            <w:r w:rsidDel="00000000" w:rsidR="00000000" w:rsidRPr="00000000">
              <w:rPr>
                <w:rtl w:val="0"/>
              </w:rPr>
            </w:r>
          </w:p>
        </w:tc>
        <w:tc>
          <w:tcPr>
            <w:gridSpan w:val="2"/>
            <w:shd w:fill="auto" w:val="clear"/>
            <w:tcMar>
              <w:top w:w="57.0" w:type="dxa"/>
              <w:bottom w:w="57.0" w:type="dxa"/>
            </w:tcMa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4"/>
                <w:szCs w:val="24"/>
                <w:u w:val="none"/>
                <w:shd w:fill="auto" w:val="clear"/>
                <w:vertAlign w:val="baseline"/>
                <w:rtl w:val="0"/>
              </w:rPr>
              <w:t xml:space="preserve">□校外實習類</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4"/>
                <w:szCs w:val="24"/>
                <w:u w:val="none"/>
                <w:shd w:fill="auto" w:val="clear"/>
                <w:vertAlign w:val="baseline"/>
                <w:rtl w:val="0"/>
              </w:rPr>
              <w:t xml:space="preserve">□專業競賽類</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4"/>
                <w:szCs w:val="24"/>
                <w:u w:val="none"/>
                <w:shd w:fill="auto" w:val="clear"/>
                <w:vertAlign w:val="baseline"/>
                <w:rtl w:val="0"/>
              </w:rPr>
              <w:t xml:space="preserve">□專業證照類</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4"/>
                <w:szCs w:val="24"/>
                <w:u w:val="none"/>
                <w:shd w:fill="auto" w:val="clear"/>
                <w:vertAlign w:val="baseline"/>
                <w:rtl w:val="0"/>
              </w:rPr>
              <w:t xml:space="preserve">□專業服務類</w:t>
            </w:r>
          </w:p>
        </w:tc>
        <w:tc>
          <w:tcPr>
            <w:shd w:fill="auto" w:val="clea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4"/>
                <w:szCs w:val="24"/>
                <w:u w:val="none"/>
                <w:shd w:fill="auto" w:val="clear"/>
                <w:vertAlign w:val="baseline"/>
                <w:rtl w:val="0"/>
              </w:rPr>
              <w:t xml:space="preserve">□志工服務類</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PMingLiu" w:cs="PMingLiu" w:eastAsia="PMingLiu" w:hAnsi="PMingLiu"/>
                <w:b w:val="0"/>
                <w:bCs w:val="0"/>
                <w:i w:val="0"/>
                <w:iCs w:val="0"/>
                <w:smallCaps w:val="0"/>
                <w:strike w:val="0"/>
                <w:color w:val="000000"/>
                <w:sz w:val="24"/>
                <w:szCs w:val="24"/>
                <w:u w:val="none"/>
                <w:shd w:fill="auto" w:val="clear"/>
                <w:vertAlign w:val="baseline"/>
                <w:rtl w:val="0"/>
              </w:rPr>
              <w:t xml:space="preserve">學習護照類</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4"/>
                <w:szCs w:val="24"/>
                <w:u w:val="none"/>
                <w:shd w:fill="auto" w:val="clear"/>
                <w:vertAlign w:val="baseline"/>
                <w:rtl w:val="0"/>
              </w:rPr>
              <w:t xml:space="preserve">□外語檢定類</w:t>
            </w:r>
          </w:p>
        </w:tc>
      </w:tr>
      <w:tr>
        <w:trPr>
          <w:cantSplit w:val="0"/>
          <w:trHeight w:val="891" w:hRule="atLeast"/>
          <w:tblHeader w:val="0"/>
        </w:trPr>
        <w:tc>
          <w:tcPr>
            <w:shd w:fill="auto" w:val="clear"/>
            <w:tcMar>
              <w:top w:w="57.0" w:type="dxa"/>
              <w:bottom w:w="57.0" w:type="dxa"/>
            </w:tcMar>
            <w:vAlign w:val="center"/>
          </w:tcPr>
          <w:p w:rsidR="00000000" w:rsidDel="00000000" w:rsidP="00000000" w:rsidRDefault="00000000" w:rsidRPr="00000000" w14:paraId="0000001A">
            <w:pPr>
              <w:jc w:val="center"/>
              <w:rPr>
                <w:b w:val="1"/>
                <w:bCs w:val="1"/>
              </w:rPr>
            </w:pPr>
            <w:r w:rsidDel="00000000" w:rsidR="00000000" w:rsidRPr="00000000">
              <w:rPr>
                <w:b w:val="1"/>
                <w:bCs w:val="1"/>
                <w:rtl w:val="0"/>
              </w:rPr>
              <w:t xml:space="preserve">自主學習活動摘要</w:t>
            </w:r>
          </w:p>
        </w:tc>
        <w:tc>
          <w:tcPr>
            <w:gridSpan w:val="3"/>
            <w:shd w:fill="auto" w:val="clear"/>
            <w:tcMar>
              <w:top w:w="57.0" w:type="dxa"/>
              <w:bottom w:w="57.0" w:type="dxa"/>
            </w:tcMar>
            <w:vAlign w:val="center"/>
          </w:tcPr>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pPr>
            <w:r w:rsidDel="00000000" w:rsidR="00000000" w:rsidRPr="00000000">
              <w:rPr>
                <w:rFonts w:ascii="PMingLiu" w:cs="PMingLiu" w:eastAsia="PMingLiu" w:hAnsi="PMingLiu"/>
                <w:b w:val="0"/>
                <w:bCs w:val="0"/>
                <w:i w:val="0"/>
                <w:iCs w:val="0"/>
                <w:smallCaps w:val="0"/>
                <w:strike w:val="0"/>
                <w:color w:val="000000"/>
                <w:sz w:val="24"/>
                <w:szCs w:val="24"/>
                <w:u w:val="none"/>
                <w:shd w:fill="auto" w:val="clear"/>
                <w:vertAlign w:val="baseline"/>
                <w:rtl w:val="0"/>
              </w:rPr>
              <w:t xml:space="preserve">課程內容：參與由輔大創意設計中心辦理之跨領域設計思考系列工作坊，藉團隊溝通及專案協作探索並解決生活議題。</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課程將以工作坊形式進行，工作坊分為強調「問題探索」、「觀察體驗」的X型與著重「問題解決」、「動手實作」的Y型工作坊，原則上於學期間周末或寒暑假期間辦理，實際狀況會依議題方向與課程設計調整。</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4"/>
                <w:szCs w:val="24"/>
                <w:u w:val="none"/>
                <w:shd w:fill="auto" w:val="clear"/>
                <w:vertAlign w:val="baseline"/>
                <w:rtl w:val="0"/>
              </w:rPr>
              <w:t xml:space="preserve">本課程旨在探討健康照護結合智慧科技相關資訊、產品、服務模式、輔具設計等趨勢議題。（採計之工作坊場次請見輔大創意設計官網&gt;課程講座&gt;跨領域設計思考自主學習課程）</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pPr>
            <w:r w:rsidDel="00000000" w:rsidR="00000000" w:rsidRPr="00000000">
              <w:rPr>
                <w:rFonts w:ascii="PMingLiu" w:cs="PMingLiu" w:eastAsia="PMingLiu" w:hAnsi="PMingLiu"/>
                <w:b w:val="0"/>
                <w:bCs w:val="0"/>
                <w:i w:val="0"/>
                <w:iCs w:val="0"/>
                <w:smallCaps w:val="0"/>
                <w:strike w:val="0"/>
                <w:color w:val="000000"/>
                <w:sz w:val="24"/>
                <w:szCs w:val="24"/>
                <w:u w:val="none"/>
                <w:shd w:fill="auto" w:val="clear"/>
                <w:vertAlign w:val="baseline"/>
                <w:rtl w:val="0"/>
              </w:rPr>
              <w:t xml:space="preserve">執行單位：輔大創意設計中心。</w:t>
            </w:r>
          </w:p>
        </w:tc>
      </w:tr>
      <w:tr>
        <w:trPr>
          <w:cantSplit w:val="0"/>
          <w:trHeight w:val="1275" w:hRule="atLeast"/>
          <w:tblHeader w:val="0"/>
        </w:trPr>
        <w:tc>
          <w:tcPr>
            <w:shd w:fill="auto" w:val="clear"/>
            <w:tcMar>
              <w:top w:w="57.0" w:type="dxa"/>
              <w:bottom w:w="57.0" w:type="dxa"/>
            </w:tcMar>
            <w:vAlign w:val="center"/>
          </w:tcPr>
          <w:p w:rsidR="00000000" w:rsidDel="00000000" w:rsidP="00000000" w:rsidRDefault="00000000" w:rsidRPr="00000000" w14:paraId="00000021">
            <w:pPr>
              <w:jc w:val="center"/>
              <w:rPr>
                <w:b w:val="1"/>
                <w:bCs w:val="1"/>
              </w:rPr>
            </w:pPr>
            <w:r w:rsidDel="00000000" w:rsidR="00000000" w:rsidRPr="00000000">
              <w:rPr>
                <w:b w:val="1"/>
                <w:bCs w:val="1"/>
                <w:rtl w:val="0"/>
              </w:rPr>
              <w:t xml:space="preserve">開課目的與</w:t>
            </w:r>
          </w:p>
          <w:p w:rsidR="00000000" w:rsidDel="00000000" w:rsidP="00000000" w:rsidRDefault="00000000" w:rsidRPr="00000000" w14:paraId="00000022">
            <w:pPr>
              <w:jc w:val="center"/>
              <w:rPr>
                <w:b w:val="1"/>
                <w:bCs w:val="1"/>
              </w:rPr>
            </w:pPr>
            <w:r w:rsidDel="00000000" w:rsidR="00000000" w:rsidRPr="00000000">
              <w:rPr>
                <w:b w:val="1"/>
                <w:bCs w:val="1"/>
                <w:rtl w:val="0"/>
              </w:rPr>
              <w:t xml:space="preserve">核心教學目標之關聯</w:t>
            </w:r>
          </w:p>
        </w:tc>
        <w:tc>
          <w:tcPr>
            <w:gridSpan w:val="3"/>
            <w:shd w:fill="auto" w:val="clear"/>
          </w:tcPr>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本課程因應當代社會議題之多元與複雜性，以培育學生具備跨領域整合能力、創意思維與實作能力為目標。以社會創新所需之產業為主題，進行專案與問題導向的實作設計，結合輔大創意設計中心於2017、2019年與美國史丹佛大學Alec Walker顧問團隊合作d-thinking設計思考工作坊與2019-2025年苗圃跨領域設計思考工作坊相關經驗，將設計思考教學方法於校內常態教學扎根，實現跨專業、貼近產業需求的教育，培育未來世代所需的人才。</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因應愈加複雜的社會與產業型態以及資訊洪流造成知識零碎化，僅憑單一專業難以解決現實問題，期望藉跨領域合作型態融合設計思考(design-thinking)與問題導向教學(Problem-based-learning)， 以「跨領域」、「雙教師」、「短時效」、「生活議題」、「動手做」為五大特色，結合不同教師專業共同解決問題，於短時間內激盪創意、迅速掌握問題核心，透過觀察體驗、「團隊討論」與「做中學」，探討健康照護結合智慧科技相關資訊、產品、服務模式、輔具設計等趨勢議題，發想創新解決方案。</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培養學生「以人為本」的同理思維，以及創意、團隊協作，從嘗試與失敗中修正迭代，提早了解社會問題與產業需求，提升未來活用專業知能、達到學用合一的機會。</w:t>
            </w:r>
          </w:p>
        </w:tc>
      </w:tr>
      <w:tr>
        <w:trPr>
          <w:cantSplit w:val="0"/>
          <w:trHeight w:val="1275" w:hRule="atLeast"/>
          <w:tblHeader w:val="0"/>
        </w:trPr>
        <w:tc>
          <w:tcPr>
            <w:shd w:fill="auto" w:val="clear"/>
            <w:tcMar>
              <w:top w:w="57.0" w:type="dxa"/>
              <w:bottom w:w="57.0" w:type="dxa"/>
            </w:tcMar>
            <w:vAlign w:val="center"/>
          </w:tcPr>
          <w:p w:rsidR="00000000" w:rsidDel="00000000" w:rsidP="00000000" w:rsidRDefault="00000000" w:rsidRPr="00000000" w14:paraId="00000028">
            <w:pPr>
              <w:jc w:val="center"/>
              <w:rPr>
                <w:b w:val="1"/>
                <w:bCs w:val="1"/>
              </w:rPr>
            </w:pPr>
            <w:r w:rsidDel="00000000" w:rsidR="00000000" w:rsidRPr="00000000">
              <w:rPr>
                <w:b w:val="1"/>
                <w:bCs w:val="1"/>
                <w:rtl w:val="0"/>
              </w:rPr>
              <w:t xml:space="preserve">學分認證要件</w:t>
            </w:r>
          </w:p>
        </w:tc>
        <w:tc>
          <w:tcPr>
            <w:gridSpan w:val="3"/>
            <w:shd w:fill="auto" w:val="clear"/>
          </w:tcPr>
          <w:p w:rsidR="00000000" w:rsidDel="00000000" w:rsidP="00000000" w:rsidRDefault="00000000" w:rsidRPr="00000000" w14:paraId="00000029">
            <w:pPr>
              <w:jc w:val="both"/>
              <w:rPr/>
            </w:pPr>
            <w:r w:rsidDel="00000000" w:rsidR="00000000" w:rsidRPr="00000000">
              <w:rPr>
                <w:rtl w:val="0"/>
              </w:rPr>
              <w:t xml:space="preserve">符合通識學分認證條件後，須提供以下文件進行申請：</w:t>
            </w:r>
          </w:p>
          <w:p w:rsidR="00000000" w:rsidDel="00000000" w:rsidP="00000000" w:rsidRDefault="00000000" w:rsidRPr="00000000" w14:paraId="000000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680" w:right="0" w:hanging="48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輔大創意設計中心-自主學習課程認證申請書</w:t>
            </w:r>
          </w:p>
          <w:p w:rsidR="00000000" w:rsidDel="00000000" w:rsidP="00000000" w:rsidRDefault="00000000" w:rsidRPr="00000000" w14:paraId="000000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680" w:right="0" w:hanging="48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自主學習課程學習成果紀錄表</w:t>
            </w:r>
          </w:p>
          <w:p w:rsidR="00000000" w:rsidDel="00000000" w:rsidP="00000000" w:rsidRDefault="00000000" w:rsidRPr="00000000" w14:paraId="000000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680" w:right="0" w:hanging="48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參與之輔大創意設計中心工作坊研習證明影本</w:t>
            </w:r>
          </w:p>
        </w:tc>
      </w:tr>
      <w:tr>
        <w:trPr>
          <w:cantSplit w:val="0"/>
          <w:trHeight w:val="861" w:hRule="atLeast"/>
          <w:tblHeader w:val="0"/>
        </w:trPr>
        <w:tc>
          <w:tcPr>
            <w:shd w:fill="auto" w:val="clear"/>
            <w:tcMar>
              <w:top w:w="57.0" w:type="dxa"/>
              <w:bottom w:w="57.0" w:type="dxa"/>
            </w:tcMar>
            <w:vAlign w:val="center"/>
          </w:tcPr>
          <w:p w:rsidR="00000000" w:rsidDel="00000000" w:rsidP="00000000" w:rsidRDefault="00000000" w:rsidRPr="00000000" w14:paraId="0000002F">
            <w:pPr>
              <w:jc w:val="center"/>
              <w:rPr>
                <w:b w:val="1"/>
                <w:bCs w:val="1"/>
              </w:rPr>
            </w:pPr>
            <w:r w:rsidDel="00000000" w:rsidR="00000000" w:rsidRPr="00000000">
              <w:rPr>
                <w:b w:val="1"/>
                <w:bCs w:val="1"/>
                <w:rtl w:val="0"/>
              </w:rPr>
              <w:t xml:space="preserve">申請資格</w:t>
            </w:r>
          </w:p>
        </w:tc>
        <w:tc>
          <w:tcPr>
            <w:gridSpan w:val="3"/>
            <w:shd w:fill="auto" w:val="clear"/>
            <w:vAlign w:val="center"/>
          </w:tcPr>
          <w:p w:rsidR="00000000" w:rsidDel="00000000" w:rsidP="00000000" w:rsidRDefault="00000000" w:rsidRPr="00000000" w14:paraId="0000003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對跨領域議題、設計思考感興趣之全校學士班學生。</w:t>
            </w:r>
          </w:p>
          <w:p w:rsidR="00000000" w:rsidDel="00000000" w:rsidP="00000000" w:rsidRDefault="00000000" w:rsidRPr="00000000" w14:paraId="0000003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全校學士班學生均可自由報名參與輔大創設計中心辦理之跨領域設計思考自然場次工作坊，本課程認列通識-自然與科技領域學分。 </w:t>
            </w:r>
          </w:p>
          <w:p w:rsidR="00000000" w:rsidDel="00000000" w:rsidP="00000000" w:rsidRDefault="00000000" w:rsidRPr="00000000" w14:paraId="0000003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如系上必/選修課有帶入輔大創意設計中心跨領域設計思考系列工作坊，已抵免部分課堂時數，則不得另申請自主學習通識學分認列。</w:t>
            </w:r>
          </w:p>
        </w:tc>
      </w:tr>
      <w:tr>
        <w:trPr>
          <w:cantSplit w:val="0"/>
          <w:trHeight w:val="875" w:hRule="atLeast"/>
          <w:tblHeader w:val="0"/>
        </w:trPr>
        <w:tc>
          <w:tcPr>
            <w:shd w:fill="auto" w:val="clear"/>
            <w:tcMar>
              <w:top w:w="57.0" w:type="dxa"/>
              <w:bottom w:w="57.0" w:type="dxa"/>
            </w:tcMar>
            <w:vAlign w:val="center"/>
          </w:tcPr>
          <w:p w:rsidR="00000000" w:rsidDel="00000000" w:rsidP="00000000" w:rsidRDefault="00000000" w:rsidRPr="00000000" w14:paraId="00000035">
            <w:pPr>
              <w:jc w:val="center"/>
              <w:rPr>
                <w:b w:val="1"/>
                <w:bCs w:val="1"/>
              </w:rPr>
            </w:pPr>
            <w:r w:rsidDel="00000000" w:rsidR="00000000" w:rsidRPr="00000000">
              <w:rPr>
                <w:b w:val="1"/>
                <w:bCs w:val="1"/>
                <w:rtl w:val="0"/>
              </w:rPr>
              <w:t xml:space="preserve">認證機制</w:t>
            </w:r>
          </w:p>
        </w:tc>
        <w:tc>
          <w:tcPr>
            <w:gridSpan w:val="3"/>
            <w:shd w:fill="auto" w:val="clear"/>
            <w:vAlign w:val="center"/>
          </w:tcPr>
          <w:p w:rsidR="00000000" w:rsidDel="00000000" w:rsidP="00000000" w:rsidRDefault="00000000" w:rsidRPr="00000000" w14:paraId="0000003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本課程採事後認證方式核給學分。欲修讀學生請於每學年第一學期於 12月10日前、第二學期於5月10日前（例假日順延一日），向輔大創意設計中心提出申請。</w:t>
            </w:r>
          </w:p>
          <w:p w:rsidR="00000000" w:rsidDel="00000000" w:rsidP="00000000" w:rsidRDefault="00000000" w:rsidRPr="00000000" w14:paraId="0000003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修讀本課程應完整參與至少36小時（其中一場必須是Y型）由創意設計中心自110學年度(包含寒暑假)起所辦理之跨領域設計思考系列工作坊，完整參與將獲輔大創意設計中心研習證書。完整參與需確實簽到、實際參與成果製作與發表、填寫活動回饋問卷；因故遲到、早退而未全程參與者，不得要求主辦方提供任何研習證明。</w:t>
            </w:r>
          </w:p>
          <w:p w:rsidR="00000000" w:rsidDel="00000000" w:rsidP="00000000" w:rsidRDefault="00000000" w:rsidRPr="00000000" w14:paraId="0000003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由輔大創意設計中心組成認證小組辦理。</w:t>
            </w:r>
          </w:p>
        </w:tc>
      </w:tr>
      <w:tr>
        <w:trPr>
          <w:cantSplit w:val="0"/>
          <w:trHeight w:val="881" w:hRule="atLeast"/>
          <w:tblHeader w:val="0"/>
        </w:trPr>
        <w:tc>
          <w:tcPr>
            <w:shd w:fill="auto" w:val="clear"/>
            <w:tcMar>
              <w:top w:w="57.0" w:type="dxa"/>
              <w:bottom w:w="57.0" w:type="dxa"/>
            </w:tcMa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1"/>
                <w:bCs w:val="1"/>
                <w:i w:val="0"/>
                <w:iCs w:val="0"/>
                <w:smallCaps w:val="0"/>
                <w:strike w:val="0"/>
                <w:color w:val="000000"/>
                <w:sz w:val="24"/>
                <w:szCs w:val="24"/>
                <w:u w:val="none"/>
                <w:shd w:fill="auto" w:val="clear"/>
                <w:vertAlign w:val="baseline"/>
                <w:rtl w:val="0"/>
              </w:rPr>
              <w:t xml:space="preserve">其他</w:t>
            </w:r>
            <w:r w:rsidDel="00000000" w:rsidR="00000000" w:rsidRPr="00000000">
              <w:rPr>
                <w:rtl w:val="0"/>
              </w:rPr>
            </w:r>
          </w:p>
        </w:tc>
        <w:tc>
          <w:tcPr>
            <w:gridSpan w:val="3"/>
            <w:shd w:fill="auto" w:val="clea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MingLiu" w:cs="PMingLiu" w:eastAsia="PMingLiu" w:hAnsi="PMingLiu"/>
                <w:b w:val="0"/>
                <w:bCs w:val="0"/>
                <w:i w:val="0"/>
                <w:iCs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bCs w:val="0"/>
                <w:i w:val="0"/>
                <w:iCs w:val="0"/>
                <w:smallCaps w:val="0"/>
                <w:strike w:val="0"/>
                <w:color w:val="000000"/>
                <w:sz w:val="24"/>
                <w:szCs w:val="24"/>
                <w:u w:val="none"/>
                <w:shd w:fill="auto" w:val="clear"/>
                <w:vertAlign w:val="baseline"/>
                <w:rtl w:val="0"/>
              </w:rPr>
              <w:t xml:space="preserve">本計畫經114學年度全人教育課程委員會第2次會議審議通過。</w:t>
            </w:r>
          </w:p>
        </w:tc>
      </w:tr>
    </w:tbl>
    <w:p w:rsidR="00000000" w:rsidDel="00000000" w:rsidP="00000000" w:rsidRDefault="00000000" w:rsidRPr="00000000" w14:paraId="0000003F">
      <w:pPr>
        <w:rPr/>
      </w:pPr>
      <w:r w:rsidDel="00000000" w:rsidR="00000000" w:rsidRPr="00000000">
        <w:rPr>
          <w:rtl w:val="0"/>
        </w:rPr>
      </w:r>
    </w:p>
    <w:sectPr>
      <w:headerReference r:id="rId7" w:type="default"/>
      <w:footerReference r:id="rId8" w:type="default"/>
      <w:pgSz w:h="16838" w:w="11906" w:orient="portrait"/>
      <w:pgMar w:bottom="1440" w:top="1440" w:left="1080" w:right="108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MingLiu"/>
  <w:font w:name="DFKai-SB"/>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第</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頁，共</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頁</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32"/>
        <w:szCs w:val="32"/>
        <w:u w:val="none"/>
        <w:shd w:fill="auto" w:val="clear"/>
        <w:vertAlign w:val="baseline"/>
        <w:rtl w:val="0"/>
      </w:rPr>
      <w:t xml:space="preserve">輔仁大學自主學習學分課程開課計畫書</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0" w:hanging="48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2">
    <w:lvl w:ilvl="0">
      <w:start w:val="1"/>
      <w:numFmt w:val="decimal"/>
      <w:lvlText w:val="%1、"/>
      <w:lvlJc w:val="left"/>
      <w:pPr>
        <w:ind w:left="480" w:hanging="48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3">
    <w:lvl w:ilvl="0">
      <w:start w:val="1"/>
      <w:numFmt w:val="decimal"/>
      <w:lvlText w:val="（%1）"/>
      <w:lvlJc w:val="left"/>
      <w:pPr>
        <w:ind w:left="960" w:hanging="480"/>
      </w:pPr>
      <w:rPr/>
    </w:lvl>
    <w:lvl w:ilvl="1">
      <w:start w:val="1"/>
      <w:numFmt w:val="decimal"/>
      <w:lvlText w:val="%2、"/>
      <w:lvlJc w:val="left"/>
      <w:pPr>
        <w:ind w:left="1440" w:hanging="480"/>
      </w:pPr>
      <w:rPr/>
    </w:lvl>
    <w:lvl w:ilvl="2">
      <w:start w:val="1"/>
      <w:numFmt w:val="bullet"/>
      <w:lvlText w:val="◆"/>
      <w:lvlJc w:val="left"/>
      <w:pPr>
        <w:ind w:left="1920" w:hanging="480"/>
      </w:pPr>
      <w:rPr>
        <w:rFonts w:ascii="Noto Sans Symbols" w:cs="Noto Sans Symbols" w:eastAsia="Noto Sans Symbols" w:hAnsi="Noto Sans Symbols"/>
      </w:rPr>
    </w:lvl>
    <w:lvl w:ilvl="3">
      <w:start w:val="1"/>
      <w:numFmt w:val="bullet"/>
      <w:lvlText w:val="●"/>
      <w:lvlJc w:val="left"/>
      <w:pPr>
        <w:ind w:left="2400" w:hanging="480"/>
      </w:pPr>
      <w:rPr>
        <w:rFonts w:ascii="Noto Sans Symbols" w:cs="Noto Sans Symbols" w:eastAsia="Noto Sans Symbols" w:hAnsi="Noto Sans Symbols"/>
      </w:rPr>
    </w:lvl>
    <w:lvl w:ilvl="4">
      <w:start w:val="1"/>
      <w:numFmt w:val="bullet"/>
      <w:lvlText w:val="■"/>
      <w:lvlJc w:val="left"/>
      <w:pPr>
        <w:ind w:left="2880" w:hanging="480"/>
      </w:pPr>
      <w:rPr>
        <w:rFonts w:ascii="Noto Sans Symbols" w:cs="Noto Sans Symbols" w:eastAsia="Noto Sans Symbols" w:hAnsi="Noto Sans Symbols"/>
      </w:rPr>
    </w:lvl>
    <w:lvl w:ilvl="5">
      <w:start w:val="1"/>
      <w:numFmt w:val="bullet"/>
      <w:lvlText w:val="◆"/>
      <w:lvlJc w:val="left"/>
      <w:pPr>
        <w:ind w:left="3360" w:hanging="480"/>
      </w:pPr>
      <w:rPr>
        <w:rFonts w:ascii="Noto Sans Symbols" w:cs="Noto Sans Symbols" w:eastAsia="Noto Sans Symbols" w:hAnsi="Noto Sans Symbols"/>
      </w:rPr>
    </w:lvl>
    <w:lvl w:ilvl="6">
      <w:start w:val="1"/>
      <w:numFmt w:val="bullet"/>
      <w:lvlText w:val="●"/>
      <w:lvlJc w:val="left"/>
      <w:pPr>
        <w:ind w:left="3840" w:hanging="480"/>
      </w:pPr>
      <w:rPr>
        <w:rFonts w:ascii="Noto Sans Symbols" w:cs="Noto Sans Symbols" w:eastAsia="Noto Sans Symbols" w:hAnsi="Noto Sans Symbols"/>
      </w:rPr>
    </w:lvl>
    <w:lvl w:ilvl="7">
      <w:start w:val="1"/>
      <w:numFmt w:val="bullet"/>
      <w:lvlText w:val="■"/>
      <w:lvlJc w:val="left"/>
      <w:pPr>
        <w:ind w:left="4320" w:hanging="480"/>
      </w:pPr>
      <w:rPr>
        <w:rFonts w:ascii="Noto Sans Symbols" w:cs="Noto Sans Symbols" w:eastAsia="Noto Sans Symbols" w:hAnsi="Noto Sans Symbols"/>
      </w:rPr>
    </w:lvl>
    <w:lvl w:ilvl="8">
      <w:start w:val="1"/>
      <w:numFmt w:val="bullet"/>
      <w:lvlText w:val="◆"/>
      <w:lvlJc w:val="left"/>
      <w:pPr>
        <w:ind w:left="4800" w:hanging="480"/>
      </w:pPr>
      <w:rPr>
        <w:rFonts w:ascii="Noto Sans Symbols" w:cs="Noto Sans Symbols" w:eastAsia="Noto Sans Symbols" w:hAnsi="Noto Sans Symbols"/>
      </w:rPr>
    </w:lvl>
  </w:abstractNum>
  <w:abstractNum w:abstractNumId="4">
    <w:lvl w:ilvl="0">
      <w:start w:val="1"/>
      <w:numFmt w:val="decimal"/>
      <w:lvlText w:val="%1、"/>
      <w:lvlJc w:val="left"/>
      <w:pPr>
        <w:ind w:left="480" w:hanging="48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5">
    <w:lvl w:ilvl="0">
      <w:start w:val="1"/>
      <w:numFmt w:val="decimal"/>
      <w:lvlText w:val="%1、"/>
      <w:lvlJc w:val="left"/>
      <w:pPr>
        <w:ind w:left="480" w:hanging="48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hI97SprDAtXV+nX6xkVY3NSVmg==">CgMxLjAyDmguNDQ5NHAzb2FudmsxOAByITF3ZTBkWUJFcEx2TWNydkZMT0lOUGk0THE3YlBmWEU2Rg==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-1665532853</vt:lpwstr>
  </property>
</Properties>
</file>