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8571"/>
        <w:tblGridChange w:id="0">
          <w:tblGrid>
            <w:gridCol w:w="1350"/>
            <w:gridCol w:w="8571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ind w:left="-110" w:firstLine="0"/>
              <w:rPr/>
            </w:pPr>
            <w:r w:rsidDel="00000000" w:rsidR="00000000" w:rsidRPr="00000000">
              <w:rPr/>
              <w:drawing>
                <wp:inline distB="0" distT="0" distL="0" distR="0">
                  <wp:extent cx="685800" cy="66675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Bdr>
                <w:bottom w:color="000000" w:space="1" w:sz="6" w:val="single"/>
              </w:pBdr>
              <w:rPr>
                <w:rFonts w:ascii="Microsoft JhengHei" w:cs="Microsoft JhengHei" w:eastAsia="Microsoft JhengHei" w:hAnsi="Microsoft JhengHei"/>
                <w:b w:val="1"/>
                <w:sz w:val="66.66666666666667"/>
                <w:szCs w:val="66.66666666666667"/>
                <w:vertAlign w:val="superscript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66.66666666666667"/>
                <w:szCs w:val="66.66666666666667"/>
                <w:vertAlign w:val="superscript"/>
                <w:rtl w:val="0"/>
              </w:rPr>
              <w:t xml:space="preserve">90天新約讀經計劃表</w:t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Dallas Chinese Bible Church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0" w:line="240" w:lineRule="auto"/>
        <w:ind w:left="187" w:firstLine="0"/>
        <w:rPr>
          <w:rFonts w:ascii="Microsoft JhengHei" w:cs="Microsoft JhengHei" w:eastAsia="Microsoft JhengHei" w:hAnsi="Microsoft JhengHei"/>
          <w:b w:val="1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5840" w:w="12240" w:orient="portrait"/>
          <w:pgMar w:bottom="1008" w:top="1008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187" w:firstLine="0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讀經指引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禱告：</w:t>
        <w:tab/>
        <w:t xml:space="preserve">懇求聖靈引導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讀經：</w:t>
        <w:tab/>
        <w:t xml:space="preserve">細心閱讀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默想：</w:t>
        <w:tab/>
        <w:t xml:space="preserve">經文主要內容、中心思想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應用：</w:t>
        <w:tab/>
        <w:t xml:space="preserve">有甚麽罪惡要避免？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sz w:val="8"/>
          <w:szCs w:val="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有甚麽應許可支取？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romise)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有甚麽榜樣可效法？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xample)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有甚麽命令要遵守？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ommand)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有甚麽知識可學習？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nowledge)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禱告：</w:t>
        <w:tab/>
        <w:t xml:space="preserve">牢記並遵行神的話語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筆記：</w:t>
        <w:tab/>
        <w:t xml:space="preserve">寫下靈修心得、應用細節</w:t>
      </w:r>
    </w:p>
    <w:p w:rsidR="00000000" w:rsidDel="00000000" w:rsidP="00000000" w:rsidRDefault="00000000" w:rsidRPr="00000000" w14:paraId="00000011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請到以下網站填寫一年讀經計劃報名表:</w:t>
      </w:r>
    </w:p>
    <w:p w:rsidR="00000000" w:rsidDel="00000000" w:rsidP="00000000" w:rsidRDefault="00000000" w:rsidRPr="00000000" w14:paraId="00000014">
      <w:pPr>
        <w:tabs>
          <w:tab w:val="left" w:pos="1417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goo.gl/DVqXr6</w:t>
      </w:r>
    </w:p>
    <w:p w:rsidR="00000000" w:rsidDel="00000000" w:rsidP="00000000" w:rsidRDefault="00000000" w:rsidRPr="00000000" w14:paraId="00000015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當您完成一年讀經計劃時, 請在以下網站填寫您的資料:</w:t>
      </w:r>
    </w:p>
    <w:p w:rsidR="00000000" w:rsidDel="00000000" w:rsidP="00000000" w:rsidRDefault="00000000" w:rsidRPr="00000000" w14:paraId="00000017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  <w:t xml:space="preserve">goo.gl/8CGxQk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  <w:sectPr>
          <w:type w:val="continuous"/>
          <w:pgSz w:h="15840" w:w="12240" w:orient="portrait"/>
          <w:pgMar w:bottom="1008" w:top="1008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  <w:sectPr>
          <w:type w:val="continuous"/>
          <w:pgSz w:h="15840" w:w="12240" w:orient="portrait"/>
          <w:pgMar w:bottom="1008" w:top="1008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40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1325"/>
        <w:gridCol w:w="1368"/>
        <w:tblGridChange w:id="0">
          <w:tblGrid>
            <w:gridCol w:w="710"/>
            <w:gridCol w:w="1325"/>
            <w:gridCol w:w="1368"/>
          </w:tblGrid>
        </w:tblGridChange>
      </w:tblGrid>
      <w:tr>
        <w:trPr>
          <w:trHeight w:val="360" w:hRule="atLeast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十二月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4-6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7-9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10-12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13-15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ind w:right="-45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16-18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19-21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22-24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25-27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28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16-18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19-21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22-24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12/30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16-18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12/31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19-21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一月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4-6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7-9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10-12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13-15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16-18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19-21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22-24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25-27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28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哥林多後書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哥林多後書 4-6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哥林多後書 7-9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哥林多後書 10-12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哥林多後書 13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加拉太書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加拉太書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4-6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1/30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以弗所書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1/31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以弗所書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二月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腓立比書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腓立比書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SimSun" w:cs="SimSun" w:eastAsia="SimSun" w:hAnsi="SimSun"/>
                <w:sz w:val="18"/>
                <w:szCs w:val="18"/>
                <w:highlight w:val="white"/>
                <w:rtl w:val="0"/>
              </w:rPr>
              <w:t xml:space="preserve">歌羅西書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1-2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SimSun" w:cs="SimSun" w:eastAsia="SimSun" w:hAnsi="SimSun"/>
                <w:sz w:val="18"/>
                <w:szCs w:val="18"/>
                <w:highlight w:val="white"/>
                <w:rtl w:val="0"/>
              </w:rPr>
              <w:t xml:space="preserve">歌羅西書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3-4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帖前 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SimSun" w:cs="SimSun" w:eastAsia="SimSun" w:hAnsi="SimSun"/>
                <w:sz w:val="18"/>
                <w:szCs w:val="18"/>
                <w:highlight w:val="white"/>
                <w:rtl w:val="0"/>
              </w:rPr>
              <w:t xml:space="preserve">帖撒羅尼迦前書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2-5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帖撒羅尼迦後書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提摩太前書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提摩太前書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4-6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提摩太後書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1-4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SimSun" w:cs="SimSun" w:eastAsia="SimSun" w:hAnsi="SimSun"/>
                <w:sz w:val="18"/>
                <w:szCs w:val="18"/>
                <w:highlight w:val="white"/>
                <w:rtl w:val="0"/>
              </w:rPr>
              <w:t xml:space="preserve">提多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腓利門書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2-4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5-7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8-10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11-13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雅各書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雅各書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彼得前書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彼得前書 2-5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彼得後書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壹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壹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書 4-5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約貳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22222"/>
                <w:highlight w:val="white"/>
                <w:rtl w:val="0"/>
              </w:rPr>
              <w:t xml:space="preserve">、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約叁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猶大書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16-18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19-22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08" w:top="1008" w:left="720" w:right="720" w:header="720" w:footer="720"/>
      <w:cols w:equalWidth="0" w:num="3">
        <w:col w:space="288" w:w="3408"/>
        <w:col w:space="288" w:w="3408"/>
        <w:col w:space="0" w:w="340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icrosoft JhengHei"/>
  <w:font w:name="SimSun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 AEBRP.CQ4.20</w:t>
    </w:r>
    <w:r w:rsidDel="00000000" w:rsidR="00000000" w:rsidRPr="00000000">
      <w:rPr>
        <w:rtl w:val="0"/>
      </w:rPr>
      <w:t xml:space="preserve">21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0</w:t>
    </w:r>
    <w:r w:rsidDel="00000000" w:rsidR="00000000" w:rsidRPr="00000000">
      <w:rPr>
        <w:rtl w:val="0"/>
      </w:rPr>
      <w:t xml:space="preserve">52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