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SOFTWARE ENGINEER OF THE YEAR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award is presented to the top software engineer in the Middle Tennessee region as identified through open nominations. Nominees must have demonstrated leadership, driven innovation and delivered value based on their technical aptitude to the organization. They should also be seen as technological leaders in their own organization and in the community. Involvement in user groups and furthering the development of the region’s technology community is a plus. Nominees must currently reside in Middle Tennessee. Nominees may be employed within an organization or be self-employed. Nominations are open and finalists will be judged by a panel of independent judges.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Questions: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share a brief summary of yourself.</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Describe the most impactful project you have completed in the last year &amp; how it contributed to the success of your organization.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impact has your project made to Key Performance Indicators (KPIs) of your company? For example, number of users added, number of steps removed from a workflow, increased revenue by X, etc.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Describe some of the ways you try to stay current with the latest changes or trends in your area of expertise.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Please describe how you have creatively and collaboratively interacted with the other teams within your organization to ensure the best possible result and product. How have you driven innovation in your organization?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What does Nashville need to become a strong technology city, and what are you currently doing to help this cause?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How do you mentor other engineers in your organization?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Preferred pronoun</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She/her</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He/him</w:t>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They/them</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Prefer not to say</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Race/Ethnicity</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White</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Black/African American</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Hispanic/Latinx</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Asian</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American Indian/Native Alaska</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Pacific Islander/Native Hawaiian</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Two or more races</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Prefer not to say</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Age</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20-24</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25-34</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35-44</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45-54</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55-64</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65+</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Local Zip Code for Employer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