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Хабаровского края от 31.10.2024 N 395-пр</w:t>
              <w:br/>
              <w:t xml:space="preserve">"Об установлении предельных размеров платы за проведение технического осмотра транспортных средств на территории Хабаровского края на 2025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ХАБАРОВСКОГО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октября 2024 г. N 395-пр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ПРЕДЕЛЬНЫХ РАЗМЕРОВ ПЛАТЫ ЗА ПРОВЕДЕНИЕ</w:t>
      </w:r>
    </w:p>
    <w:p>
      <w:pPr>
        <w:pStyle w:val="2"/>
        <w:jc w:val="center"/>
      </w:pPr>
      <w:r>
        <w:rPr>
          <w:sz w:val="24"/>
        </w:rPr>
        <w:t xml:space="preserve">ТЕХНИЧЕСКОГО ОСМОТРА ТРАНСПОРТНЫХ СРЕДСТВ НА ТЕРРИТОРИИ</w:t>
      </w:r>
    </w:p>
    <w:p>
      <w:pPr>
        <w:pStyle w:val="2"/>
        <w:jc w:val="center"/>
      </w:pPr>
      <w:r>
        <w:rPr>
          <w:sz w:val="24"/>
        </w:rPr>
        <w:t xml:space="preserve">ХАБАРОВСКОГО КРАЯ 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 июля 2011 г. N 170-ФЗ "О техническом осмотре транспортных средств и о внесении изменений в отдельные законодательные акты Российской Федерации", постановлениями Правительства Российской Федерации от 15 сентября 2020 г. </w:t>
      </w:r>
      <w:hyperlink w:history="0" r:id="rId8" w:tooltip="Постановление Правительства РФ от 15.09.2020 N 1433 (ред. от 09.12.2023) &quot;Об утверждении Правил проведения технического осмотра транспортных средств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N 1433</w:t>
        </w:r>
      </w:hyperlink>
      <w:r>
        <w:rPr>
          <w:sz w:val="24"/>
        </w:rPr>
        <w:t xml:space="preserve"> "Об утверждении Правил проведения технического осмотра транспортных средств городского наземного электрического транспорта", от 15 сентября 2020 г. </w:t>
      </w:r>
      <w:hyperlink w:history="0" r:id="rId9" w:tooltip="Постановление Правительства РФ от 15.09.2020 N 1434 (ред. от 09.12.2023) &quot;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1434</w:t>
        </w:r>
      </w:hyperlink>
      <w:r>
        <w:rPr>
          <w:sz w:val="24"/>
        </w:rPr>
        <w:t xml:space="preserve">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Федерации", </w:t>
      </w:r>
      <w:hyperlink w:history="0" r:id="rId10" w:tooltip="Приказ ФАС России от 30.06.2022 N 489/22 &quot;Об утверждении Методики расчета предельного размера платы за проведение технического осмотра&quot; (Зарегистрировано в Минюсте России 22.09.2022 N 7018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Федеральной антимонопольной службы от 30 июня 2022 г. N 489/22 "Об утверждении Методики расчета предельного размера платы за проведение технического осмотра" Правительство края постановляет:</w:t>
      </w:r>
    </w:p>
    <w:bookmarkStart w:id="11" w:name="P11"/>
    <w:bookmarkEnd w:id="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предельные </w:t>
      </w:r>
      <w:hyperlink w:history="0" w:anchor="P29" w:tooltip="ПРЕДЕЛЬНЫЕ РАЗМЕРЫ ПЛАТЫ ЗА ПРОВЕДЕНИЕ ТЕХНИЧЕСКОГО ОСМОТРА">
        <w:r>
          <w:rPr>
            <w:sz w:val="24"/>
            <w:color w:val="0000ff"/>
          </w:rPr>
          <w:t xml:space="preserve">размеры</w:t>
        </w:r>
      </w:hyperlink>
      <w:r>
        <w:rPr>
          <w:sz w:val="24"/>
        </w:rPr>
        <w:t xml:space="preserve"> платы за проведение технического осмотра транспортных средств на территории Хабаровского края на 2025 год согласно приложению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 плату за оформление дубликата диагностической карты на 2025 год в размере одной десятой предельного размера платы за проведение технического осмотра транспортных средств на территории Хабаровского края для соответствующей категории транспортного средства, установленного </w:t>
      </w:r>
      <w:hyperlink w:history="0" w:anchor="P11" w:tooltip="1. Установить предельные размеры платы за проведение технического осмотра транспортных средств на территории Хабаровского края на 2025 год согласно приложению к настоящему постановлению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1" w:tooltip="Постановление Правительства Хабаровского края от 12.07.2023 N 312-пр &quot;Об установлении предельных размеров платы за проведение технического осмотра транспортных средств на территории Хабаровского края на 2024 год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Хабаровского края от 12 июля 2023 г. N 312-пр "Об установлении предельных размеров платы за проведение технического осмотра транспортных средств на территории Хабаровского края на 2024 год".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января 2025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Губернатор,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Д.В.Демешин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4"/>
        </w:rPr>
        <w:t xml:space="preserve">от 31 октября 2024 г. N 395-пр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ПРЕДЕЛЬНЫЕ РАЗМЕРЫ ПЛАТЫ ЗА ПРОВЕДЕНИЕ ТЕХНИЧЕСКОГО ОСМОТРА</w:t>
      </w:r>
    </w:p>
    <w:p>
      <w:pPr>
        <w:pStyle w:val="2"/>
        <w:jc w:val="center"/>
      </w:pPr>
      <w:r>
        <w:rPr>
          <w:sz w:val="24"/>
        </w:rPr>
        <w:t xml:space="preserve">ТРАНСПОРТНЫХ СРЕДСТВ НА ТЕРРИТОРИИ ХАБАРОВСКОГО КРАЯ</w:t>
      </w:r>
    </w:p>
    <w:p>
      <w:pPr>
        <w:pStyle w:val="2"/>
        <w:jc w:val="center"/>
      </w:pPr>
      <w:r>
        <w:rPr>
          <w:sz w:val="24"/>
        </w:rPr>
        <w:t xml:space="preserve">НА 2025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499"/>
        <w:gridCol w:w="1639"/>
        <w:gridCol w:w="1399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49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транспортного средства &lt;1&gt;</w:t>
            </w:r>
          </w:p>
        </w:tc>
        <w:tc>
          <w:tcPr>
            <w:tcW w:w="163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&lt;2&gt;</w:t>
            </w:r>
          </w:p>
        </w:tc>
        <w:tc>
          <w:tcPr>
            <w:tcW w:w="139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Предельный размер платы (рублей)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49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9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4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16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1 109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2 180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2 661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1 201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2 329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2 515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924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1 627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Мототранспортные средства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386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1 183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2 180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2 514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1 258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2 440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2 625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960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1 700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оперативных служб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407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1 369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2 661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2 884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транспортные средства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1 071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транспортные средства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1 885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для коммунального хозяйства и содержания дорог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1 295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2 550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2 773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1 036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1 775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для перевозки опасных грузов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1 553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для перевозки опасных грузов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3 031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для перевозки опасных грузов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3 254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для перевозки опасных грузов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1 109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для перевозки опасных грузов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  <w:r>
              <w:rPr>
                <w:sz w:val="24"/>
                <w:vertAlign w:val="subscript"/>
              </w:rPr>
              <w:t xml:space="preserve">3</w:t>
            </w:r>
            <w:r>
              <w:rPr>
                <w:sz w:val="24"/>
              </w:rPr>
              <w:t xml:space="preserve">, O</w:t>
            </w:r>
            <w:r>
              <w:rPr>
                <w:sz w:val="24"/>
                <w:vertAlign w:val="subscript"/>
              </w:rPr>
              <w:t xml:space="preserve">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1 959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городского наземного электрического транспорта - троллейбусы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, М</w:t>
            </w:r>
            <w:r>
              <w:rPr>
                <w:sz w:val="24"/>
                <w:vertAlign w:val="subscript"/>
              </w:rPr>
              <w:t xml:space="preserve">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1 849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городского наземного электрического транспорта - трамвайные вагоны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1 849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Типы транспортных средств указаны в соответствии с </w:t>
      </w:r>
      <w:hyperlink w:history="0" r:id="rId12" w:tooltip="Постановление Правительства РФ от 15.09.2020 N 1433 (ред. от 09.12.2023) &quot;Об утверждении Правил проведения технического осмотра транспортных средств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технического осмотра транспортных средств городского наземного электрического транспорта, утвержденными Постановлением Правительства Российской Федерации от 15 сентября 2020 г. N 1433, </w:t>
      </w:r>
      <w:hyperlink w:history="0" r:id="rId13" w:tooltip="Постановление Правительства РФ от 15.09.2020 N 1434 (ред. от 09.12.2023) &quot;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Правилам проведения технического осмотра транспортных средств, утвержденным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Категории транспортных средств соответствуют классификации, установленной в </w:t>
      </w:r>
      <w:hyperlink w:history="0" r:id="rId14" w:tooltip="Решение Комиссии Таможенного союза от 09.12.2011 N 877 (ред. от 23.05.2025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(с изм. и доп., вступ. в силу с 20.10.2025)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техническому регламенту Таможенного союза "О безопасности колесных транспортных средств" (ТР ТС 018/2011).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При оказании услуг по проведению технического осмотра транспортных средств в районах Крайнего Севера и приравненных к ним местностях применять повышающий коэффициент 1,2.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31.10.2024 N 395-пр</w:t>
            <w:br/>
            <w:t>"Об установлении предельных размеров платы за прове...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077&amp;date=08.11.2025&amp;dst=125&amp;field=134" TargetMode = "External"/>
	<Relationship Id="rId8" Type="http://schemas.openxmlformats.org/officeDocument/2006/relationships/hyperlink" Target="https://login.consultant.ru/link/?req=doc&amp;base=LAW&amp;n=464296&amp;date=08.11.2025&amp;dst=100023&amp;field=134" TargetMode = "External"/>
	<Relationship Id="rId9" Type="http://schemas.openxmlformats.org/officeDocument/2006/relationships/hyperlink" Target="https://login.consultant.ru/link/?req=doc&amp;base=LAW&amp;n=464298&amp;date=08.11.2025&amp;dst=100024&amp;field=134" TargetMode = "External"/>
	<Relationship Id="rId10" Type="http://schemas.openxmlformats.org/officeDocument/2006/relationships/hyperlink" Target="https://login.consultant.ru/link/?req=doc&amp;base=LAW&amp;n=427202&amp;date=08.11.2025&amp;dst=100015&amp;field=134" TargetMode = "External"/>
	<Relationship Id="rId11" Type="http://schemas.openxmlformats.org/officeDocument/2006/relationships/hyperlink" Target="https://login.consultant.ru/link/?req=doc&amp;base=RLAW011&amp;n=176666&amp;date=08.11.2025" TargetMode = "External"/>
	<Relationship Id="rId12" Type="http://schemas.openxmlformats.org/officeDocument/2006/relationships/hyperlink" Target="https://login.consultant.ru/link/?req=doc&amp;base=LAW&amp;n=464296&amp;date=08.11.2025&amp;dst=100009&amp;field=134" TargetMode = "External"/>
	<Relationship Id="rId13" Type="http://schemas.openxmlformats.org/officeDocument/2006/relationships/hyperlink" Target="https://login.consultant.ru/link/?req=doc&amp;base=LAW&amp;n=464298&amp;date=08.11.2025&amp;dst=100898&amp;field=134" TargetMode = "External"/>
	<Relationship Id="rId14" Type="http://schemas.openxmlformats.org/officeDocument/2006/relationships/hyperlink" Target="https://login.consultant.ru/link/?req=doc&amp;base=LAW&amp;n=510661&amp;date=08.11.2025&amp;dst=10059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31.10.2024 N 395-пр
"Об установлении предельных размеров платы за проведение технического осмотра транспортных средств на территории Хабаровского края на 2025 год"</dc:title>
  <dcterms:created xsi:type="dcterms:W3CDTF">2025-11-08T05:49:30Z</dcterms:created>
</cp:coreProperties>
</file>