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Open Sans ExtraBold" w:cs="Open Sans ExtraBold" w:eastAsia="Open Sans ExtraBold" w:hAnsi="Open Sans ExtraBold"/>
          <w:b w:val="0"/>
          <w:bCs w:val="0"/>
          <w:color w:val="2960a1"/>
          <w:sz w:val="54"/>
          <w:szCs w:val="54"/>
        </w:rPr>
      </w:pPr>
      <w:bookmarkStart w:colFirst="0" w:colLast="0" w:name="_d9s7szh6oelo" w:id="0"/>
      <w:bookmarkEnd w:id="0"/>
      <w:r w:rsidDel="00000000" w:rsidR="00000000" w:rsidRPr="00000000">
        <w:rPr>
          <w:rtl w:val="0"/>
        </w:rPr>
      </w:r>
    </w:p>
    <w:p w:rsidR="00000000" w:rsidDel="00000000" w:rsidP="00000000" w:rsidRDefault="00000000" w:rsidRPr="00000000" w14:paraId="00000002">
      <w:pPr>
        <w:pStyle w:val="Title"/>
        <w:rPr/>
      </w:pPr>
      <w:bookmarkStart w:colFirst="0" w:colLast="0" w:name="_qi0064nyewy5" w:id="1"/>
      <w:bookmarkEnd w:id="1"/>
      <w:r w:rsidDel="00000000" w:rsidR="00000000" w:rsidRPr="00000000">
        <w:rPr>
          <w:rFonts w:ascii="Open Sans ExtraBold" w:cs="Open Sans ExtraBold" w:eastAsia="Open Sans ExtraBold" w:hAnsi="Open Sans ExtraBold"/>
          <w:b w:val="0"/>
          <w:bCs w:val="0"/>
          <w:color w:val="2960a1"/>
          <w:sz w:val="54"/>
          <w:szCs w:val="54"/>
          <w:rtl w:val="0"/>
        </w:rPr>
        <w:t xml:space="preserve">Standard Operating Procedure (SOP) -Training Calendar</w:t>
      </w:r>
      <w:r w:rsidDel="00000000" w:rsidR="00000000" w:rsidRPr="00000000">
        <w:rPr>
          <w:rtl w:val="0"/>
        </w:rPr>
      </w:r>
    </w:p>
    <w:p w:rsidR="00000000" w:rsidDel="00000000" w:rsidP="00000000" w:rsidRDefault="00000000" w:rsidRPr="00000000" w14:paraId="00000003">
      <w:pPr>
        <w:pStyle w:val="Heading1"/>
        <w:jc w:val="center"/>
        <w:rPr/>
      </w:pPr>
      <w:bookmarkStart w:colFirst="0" w:colLast="0" w:name="_i7nqpmv5aqo6" w:id="2"/>
      <w:bookmarkEnd w:id="2"/>
      <w:r w:rsidDel="00000000" w:rsidR="00000000" w:rsidRPr="00000000">
        <w:rPr>
          <w:rFonts w:ascii="Open Sans ExtraBold" w:cs="Open Sans ExtraBold" w:eastAsia="Open Sans ExtraBold" w:hAnsi="Open Sans ExtraBold"/>
          <w:color w:val="2960a1"/>
          <w:sz w:val="54"/>
          <w:szCs w:val="54"/>
        </w:rPr>
        <w:drawing>
          <wp:inline distB="114300" distT="114300" distL="114300" distR="114300">
            <wp:extent cx="4600575" cy="32004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600575"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keepNext w:val="0"/>
        <w:keepLines w:val="0"/>
        <w:widowControl w:val="0"/>
        <w:spacing w:after="120" w:before="480" w:line="276" w:lineRule="auto"/>
        <w:rPr>
          <w:rFonts w:ascii="Calibri" w:cs="Calibri" w:eastAsia="Calibri" w:hAnsi="Calibri"/>
          <w:sz w:val="36"/>
          <w:szCs w:val="36"/>
        </w:rPr>
      </w:pPr>
      <w:bookmarkStart w:colFirst="0" w:colLast="0" w:name="_30j0zll" w:id="3"/>
      <w:bookmarkEnd w:id="3"/>
      <w:r w:rsidDel="00000000" w:rsidR="00000000" w:rsidRPr="00000000">
        <w:rPr>
          <w:rFonts w:ascii="Open Sans" w:cs="Open Sans" w:eastAsia="Open Sans" w:hAnsi="Open Sans"/>
          <w:sz w:val="36"/>
          <w:szCs w:val="36"/>
          <w:rtl w:val="0"/>
        </w:rPr>
        <w:t xml:space="preserve">   Validated for use by</w:t>
      </w: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jc w:val="center"/>
        <w:rPr/>
      </w:pPr>
      <w:r w:rsidDel="00000000" w:rsidR="00000000" w:rsidRPr="00000000">
        <w:rPr>
          <w:rFonts w:ascii="Poppins" w:cs="Poppins" w:eastAsia="Poppins" w:hAnsi="Poppins"/>
          <w:b w:val="1"/>
          <w:bCs w:val="1"/>
          <w:sz w:val="48"/>
          <w:szCs w:val="48"/>
        </w:rPr>
        <w:drawing>
          <wp:inline distB="114300" distT="114300" distL="114300" distR="114300">
            <wp:extent cx="2043113" cy="108847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43113" cy="108847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Style w:val="Heading1"/>
        <w:rPr>
          <w:sz w:val="22"/>
          <w:szCs w:val="22"/>
        </w:rPr>
      </w:pPr>
      <w:bookmarkStart w:colFirst="0" w:colLast="0" w:name="_97v1cscs807v" w:id="4"/>
      <w:bookmarkEnd w:id="4"/>
      <w:r w:rsidDel="00000000" w:rsidR="00000000" w:rsidRPr="00000000">
        <w:rPr>
          <w:rtl w:val="0"/>
        </w:rPr>
        <w:t xml:space="preserve">Purpose: </w:t>
        <w:br w:type="textWrapping"/>
      </w:r>
      <w:r w:rsidDel="00000000" w:rsidR="00000000" w:rsidRPr="00000000">
        <w:rPr>
          <w:sz w:val="22"/>
          <w:szCs w:val="22"/>
          <w:rtl w:val="0"/>
        </w:rPr>
        <w:t xml:space="preserve">The purpose of this SOP is to provide a clear and consistent process for creating a training calendar for the organization. The training calendar will ensure that all employees receive the necessary training to perform their job duties effectively and efficiently.</w:t>
        <w:br w:type="textWrapping"/>
      </w:r>
    </w:p>
    <w:p w:rsidR="00000000" w:rsidDel="00000000" w:rsidP="00000000" w:rsidRDefault="00000000" w:rsidRPr="00000000" w14:paraId="00000008">
      <w:pPr>
        <w:rPr>
          <w:sz w:val="22"/>
          <w:szCs w:val="22"/>
        </w:rPr>
      </w:pPr>
      <w:r w:rsidDel="00000000" w:rsidR="00000000" w:rsidRPr="00000000">
        <w:rPr>
          <w:rFonts w:ascii="Trebuchet MS" w:cs="Trebuchet MS" w:eastAsia="Trebuchet MS" w:hAnsi="Trebuchet MS"/>
          <w:sz w:val="32"/>
          <w:szCs w:val="32"/>
          <w:rtl w:val="0"/>
        </w:rPr>
        <w:t xml:space="preserve">Introduction:</w:t>
      </w:r>
      <w:r w:rsidDel="00000000" w:rsidR="00000000" w:rsidRPr="00000000">
        <w:rPr>
          <w:sz w:val="22"/>
          <w:szCs w:val="22"/>
          <w:rtl w:val="0"/>
        </w:rPr>
        <w:t xml:space="preserve"> </w:t>
      </w:r>
    </w:p>
    <w:p w:rsidR="00000000" w:rsidDel="00000000" w:rsidP="00000000" w:rsidRDefault="00000000" w:rsidRPr="00000000" w14:paraId="00000009">
      <w:pPr>
        <w:rPr>
          <w:sz w:val="22"/>
          <w:szCs w:val="22"/>
        </w:rPr>
      </w:pPr>
      <w:r w:rsidDel="00000000" w:rsidR="00000000" w:rsidRPr="00000000">
        <w:rPr>
          <w:sz w:val="22"/>
          <w:szCs w:val="22"/>
          <w:rtl w:val="0"/>
        </w:rPr>
        <w:t xml:space="preserve">This SOP applies to all employees involved in the creation and maintenance of the training calendar. The training calendar will be used to schedule and plan training sessions for all employees, as well as track their completion.</w:t>
        <w:br w:type="textWrapping"/>
      </w:r>
    </w:p>
    <w:p w:rsidR="00000000" w:rsidDel="00000000" w:rsidP="00000000" w:rsidRDefault="00000000" w:rsidRPr="00000000" w14:paraId="0000000A">
      <w:pPr>
        <w:rPr>
          <w:sz w:val="20"/>
          <w:szCs w:val="20"/>
        </w:rPr>
      </w:pPr>
      <w:r w:rsidDel="00000000" w:rsidR="00000000" w:rsidRPr="00000000">
        <w:rPr>
          <w:rFonts w:ascii="Trebuchet MS" w:cs="Trebuchet MS" w:eastAsia="Trebuchet MS" w:hAnsi="Trebuchet MS"/>
          <w:sz w:val="32"/>
          <w:szCs w:val="32"/>
          <w:rtl w:val="0"/>
        </w:rPr>
        <w:t xml:space="preserve">Scope:</w:t>
      </w:r>
      <w:r w:rsidDel="00000000" w:rsidR="00000000" w:rsidRPr="00000000">
        <w:rPr>
          <w:sz w:val="22"/>
          <w:szCs w:val="22"/>
          <w:rtl w:val="0"/>
        </w:rPr>
        <w:t xml:space="preserve"> </w:t>
        <w:br w:type="textWrapping"/>
        <w:t xml:space="preserve">This SOP applies to the HR department and all employees of the organization. It covers the preparation and maintenance of the training calendar, including identifying training needs, scheduling training sessions, and communicating training opportunities to employees.</w:t>
        <w:br w:type="textWrapping"/>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Fonts w:ascii="Trebuchet MS" w:cs="Trebuchet MS" w:eastAsia="Trebuchet MS" w:hAnsi="Trebuchet MS"/>
          <w:sz w:val="32"/>
          <w:szCs w:val="32"/>
          <w:rtl w:val="0"/>
        </w:rPr>
        <w:t xml:space="preserve">Definitions:</w:t>
      </w:r>
      <w:r w:rsidDel="00000000" w:rsidR="00000000" w:rsidRPr="00000000">
        <w:rPr>
          <w:rtl w:val="0"/>
        </w:rPr>
      </w:r>
    </w:p>
    <w:p w:rsidR="00000000" w:rsidDel="00000000" w:rsidP="00000000" w:rsidRDefault="00000000" w:rsidRPr="00000000" w14:paraId="0000000C">
      <w:pPr>
        <w:numPr>
          <w:ilvl w:val="0"/>
          <w:numId w:val="3"/>
        </w:numPr>
        <w:ind w:left="720" w:hanging="360"/>
        <w:rPr>
          <w:sz w:val="22"/>
          <w:szCs w:val="22"/>
          <w:u w:val="none"/>
        </w:rPr>
      </w:pPr>
      <w:r w:rsidDel="00000000" w:rsidR="00000000" w:rsidRPr="00000000">
        <w:rPr>
          <w:sz w:val="22"/>
          <w:szCs w:val="22"/>
          <w:rtl w:val="0"/>
        </w:rPr>
        <w:t xml:space="preserve">Training: refers to any form of instruction or education provided to employees to help them perform their job duties.</w:t>
      </w:r>
    </w:p>
    <w:p w:rsidR="00000000" w:rsidDel="00000000" w:rsidP="00000000" w:rsidRDefault="00000000" w:rsidRPr="00000000" w14:paraId="0000000D">
      <w:pPr>
        <w:numPr>
          <w:ilvl w:val="0"/>
          <w:numId w:val="3"/>
        </w:numPr>
        <w:ind w:left="720" w:hanging="360"/>
        <w:rPr>
          <w:sz w:val="22"/>
          <w:szCs w:val="22"/>
          <w:u w:val="none"/>
        </w:rPr>
      </w:pPr>
      <w:r w:rsidDel="00000000" w:rsidR="00000000" w:rsidRPr="00000000">
        <w:rPr>
          <w:sz w:val="22"/>
          <w:szCs w:val="22"/>
          <w:rtl w:val="0"/>
        </w:rPr>
        <w:t xml:space="preserve">Training calendar: a schedule of all planned training sessions, including dates, times, and locations.</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rFonts w:ascii="Trebuchet MS" w:cs="Trebuchet MS" w:eastAsia="Trebuchet MS" w:hAnsi="Trebuchet MS"/>
          <w:sz w:val="32"/>
          <w:szCs w:val="32"/>
          <w:rtl w:val="0"/>
        </w:rPr>
        <w:t xml:space="preserve">Responsibilities:</w:t>
      </w:r>
      <w:r w:rsidDel="00000000" w:rsidR="00000000" w:rsidRPr="00000000">
        <w:rPr>
          <w:rtl w:val="0"/>
        </w:rPr>
      </w:r>
    </w:p>
    <w:p w:rsidR="00000000" w:rsidDel="00000000" w:rsidP="00000000" w:rsidRDefault="00000000" w:rsidRPr="00000000" w14:paraId="00000010">
      <w:pPr>
        <w:numPr>
          <w:ilvl w:val="0"/>
          <w:numId w:val="5"/>
        </w:numPr>
        <w:ind w:left="720" w:hanging="360"/>
        <w:rPr>
          <w:sz w:val="22"/>
          <w:szCs w:val="22"/>
          <w:u w:val="none"/>
        </w:rPr>
      </w:pPr>
      <w:r w:rsidDel="00000000" w:rsidR="00000000" w:rsidRPr="00000000">
        <w:rPr>
          <w:sz w:val="22"/>
          <w:szCs w:val="22"/>
          <w:rtl w:val="0"/>
        </w:rPr>
        <w:t xml:space="preserve">HR department: responsible for creating and maintaining the training calendar, as well as coordinating with managers and trainers to schedule training sessions.</w:t>
      </w:r>
    </w:p>
    <w:p w:rsidR="00000000" w:rsidDel="00000000" w:rsidP="00000000" w:rsidRDefault="00000000" w:rsidRPr="00000000" w14:paraId="00000011">
      <w:pPr>
        <w:numPr>
          <w:ilvl w:val="0"/>
          <w:numId w:val="5"/>
        </w:numPr>
        <w:ind w:left="720" w:hanging="360"/>
        <w:rPr>
          <w:sz w:val="22"/>
          <w:szCs w:val="22"/>
          <w:u w:val="none"/>
        </w:rPr>
      </w:pPr>
      <w:r w:rsidDel="00000000" w:rsidR="00000000" w:rsidRPr="00000000">
        <w:rPr>
          <w:sz w:val="22"/>
          <w:szCs w:val="22"/>
          <w:rtl w:val="0"/>
        </w:rPr>
        <w:t xml:space="preserve">Managers: responsible for identifying training needs for their teams and communicating them to HR.</w:t>
      </w:r>
    </w:p>
    <w:p w:rsidR="00000000" w:rsidDel="00000000" w:rsidP="00000000" w:rsidRDefault="00000000" w:rsidRPr="00000000" w14:paraId="00000012">
      <w:pPr>
        <w:numPr>
          <w:ilvl w:val="0"/>
          <w:numId w:val="5"/>
        </w:numPr>
        <w:ind w:left="720" w:hanging="360"/>
        <w:rPr>
          <w:sz w:val="22"/>
          <w:szCs w:val="22"/>
          <w:u w:val="none"/>
        </w:rPr>
      </w:pPr>
      <w:r w:rsidDel="00000000" w:rsidR="00000000" w:rsidRPr="00000000">
        <w:rPr>
          <w:sz w:val="22"/>
          <w:szCs w:val="22"/>
          <w:rtl w:val="0"/>
        </w:rPr>
        <w:t xml:space="preserve">Employees: responsible for attending the scheduled training sessions and completing any necessary follow-up tasks or assignments.</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Fonts w:ascii="Trebuchet MS" w:cs="Trebuchet MS" w:eastAsia="Trebuchet MS" w:hAnsi="Trebuchet MS"/>
          <w:sz w:val="32"/>
          <w:szCs w:val="32"/>
          <w:rtl w:val="0"/>
        </w:rPr>
        <w:t xml:space="preserve">Best practices:</w:t>
      </w:r>
      <w:r w:rsidDel="00000000" w:rsidR="00000000" w:rsidRPr="00000000">
        <w:rPr>
          <w:rtl w:val="0"/>
        </w:rPr>
      </w:r>
    </w:p>
    <w:p w:rsidR="00000000" w:rsidDel="00000000" w:rsidP="00000000" w:rsidRDefault="00000000" w:rsidRPr="00000000" w14:paraId="00000015">
      <w:pPr>
        <w:numPr>
          <w:ilvl w:val="0"/>
          <w:numId w:val="2"/>
        </w:numPr>
        <w:ind w:left="720" w:hanging="360"/>
        <w:rPr>
          <w:sz w:val="22"/>
          <w:szCs w:val="22"/>
          <w:u w:val="none"/>
        </w:rPr>
      </w:pPr>
      <w:r w:rsidDel="00000000" w:rsidR="00000000" w:rsidRPr="00000000">
        <w:rPr>
          <w:sz w:val="22"/>
          <w:szCs w:val="22"/>
          <w:rtl w:val="0"/>
        </w:rPr>
        <w:t xml:space="preserve">Schedule training at a time that is convenient for the majority of employee</w:t>
      </w:r>
    </w:p>
    <w:p w:rsidR="00000000" w:rsidDel="00000000" w:rsidP="00000000" w:rsidRDefault="00000000" w:rsidRPr="00000000" w14:paraId="00000016">
      <w:pPr>
        <w:numPr>
          <w:ilvl w:val="0"/>
          <w:numId w:val="2"/>
        </w:numPr>
        <w:ind w:left="720" w:hanging="360"/>
        <w:rPr>
          <w:sz w:val="22"/>
          <w:szCs w:val="22"/>
          <w:u w:val="none"/>
        </w:rPr>
      </w:pPr>
      <w:r w:rsidDel="00000000" w:rsidR="00000000" w:rsidRPr="00000000">
        <w:rPr>
          <w:sz w:val="22"/>
          <w:szCs w:val="22"/>
          <w:rtl w:val="0"/>
        </w:rPr>
        <w:t xml:space="preserve">Allow sufficient lead time for employees to schedule and plan for training</w:t>
      </w:r>
    </w:p>
    <w:p w:rsidR="00000000" w:rsidDel="00000000" w:rsidP="00000000" w:rsidRDefault="00000000" w:rsidRPr="00000000" w14:paraId="00000017">
      <w:pPr>
        <w:numPr>
          <w:ilvl w:val="0"/>
          <w:numId w:val="2"/>
        </w:numPr>
        <w:ind w:left="720" w:hanging="360"/>
        <w:rPr>
          <w:sz w:val="22"/>
          <w:szCs w:val="22"/>
          <w:u w:val="none"/>
        </w:rPr>
      </w:pPr>
      <w:r w:rsidDel="00000000" w:rsidR="00000000" w:rsidRPr="00000000">
        <w:rPr>
          <w:sz w:val="22"/>
          <w:szCs w:val="22"/>
          <w:rtl w:val="0"/>
        </w:rPr>
        <w:t xml:space="preserve">Provide a variety of training options, including in-person, virtual, and self-paced options</w:t>
      </w:r>
    </w:p>
    <w:p w:rsidR="00000000" w:rsidDel="00000000" w:rsidP="00000000" w:rsidRDefault="00000000" w:rsidRPr="00000000" w14:paraId="00000018">
      <w:pPr>
        <w:numPr>
          <w:ilvl w:val="0"/>
          <w:numId w:val="2"/>
        </w:numPr>
        <w:ind w:left="720" w:hanging="360"/>
        <w:rPr>
          <w:sz w:val="22"/>
          <w:szCs w:val="22"/>
          <w:u w:val="none"/>
        </w:rPr>
      </w:pPr>
      <w:r w:rsidDel="00000000" w:rsidR="00000000" w:rsidRPr="00000000">
        <w:rPr>
          <w:sz w:val="22"/>
          <w:szCs w:val="22"/>
          <w:rtl w:val="0"/>
        </w:rPr>
        <w:t xml:space="preserve">Make the training calendar accessible to all employees</w:t>
      </w:r>
    </w:p>
    <w:p w:rsidR="00000000" w:rsidDel="00000000" w:rsidP="00000000" w:rsidRDefault="00000000" w:rsidRPr="00000000" w14:paraId="00000019">
      <w:pPr>
        <w:numPr>
          <w:ilvl w:val="0"/>
          <w:numId w:val="2"/>
        </w:numPr>
        <w:ind w:left="720" w:hanging="360"/>
        <w:rPr>
          <w:sz w:val="22"/>
          <w:szCs w:val="22"/>
          <w:u w:val="none"/>
        </w:rPr>
      </w:pPr>
      <w:r w:rsidDel="00000000" w:rsidR="00000000" w:rsidRPr="00000000">
        <w:rPr>
          <w:sz w:val="22"/>
          <w:szCs w:val="22"/>
          <w:rtl w:val="0"/>
        </w:rPr>
        <w:t xml:space="preserve">Regularly review and update the training calendar</w:t>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rFonts w:ascii="Trebuchet MS" w:cs="Trebuchet MS" w:eastAsia="Trebuchet MS" w:hAnsi="Trebuchet MS"/>
          <w:sz w:val="32"/>
          <w:szCs w:val="32"/>
          <w:rtl w:val="0"/>
        </w:rPr>
        <w:t xml:space="preserve">Steps:</w:t>
      </w:r>
      <w:r w:rsidDel="00000000" w:rsidR="00000000" w:rsidRPr="00000000">
        <w:rPr>
          <w:rtl w:val="0"/>
        </w:rPr>
      </w:r>
    </w:p>
    <w:p w:rsidR="00000000" w:rsidDel="00000000" w:rsidP="00000000" w:rsidRDefault="00000000" w:rsidRPr="00000000" w14:paraId="0000001C">
      <w:pPr>
        <w:numPr>
          <w:ilvl w:val="0"/>
          <w:numId w:val="1"/>
        </w:numPr>
        <w:ind w:left="720" w:hanging="360"/>
        <w:rPr>
          <w:sz w:val="22"/>
          <w:szCs w:val="22"/>
          <w:u w:val="none"/>
        </w:rPr>
      </w:pPr>
      <w:r w:rsidDel="00000000" w:rsidR="00000000" w:rsidRPr="00000000">
        <w:rPr>
          <w:sz w:val="22"/>
          <w:szCs w:val="22"/>
          <w:rtl w:val="0"/>
        </w:rPr>
        <w:t xml:space="preserve">Identify training needs: HR will work with managers to identify the training needs of employees and create a list of required training sessions.</w:t>
      </w:r>
    </w:p>
    <w:p w:rsidR="00000000" w:rsidDel="00000000" w:rsidP="00000000" w:rsidRDefault="00000000" w:rsidRPr="00000000" w14:paraId="0000001D">
      <w:pPr>
        <w:numPr>
          <w:ilvl w:val="0"/>
          <w:numId w:val="1"/>
        </w:numPr>
        <w:ind w:left="720" w:hanging="360"/>
        <w:rPr>
          <w:sz w:val="22"/>
          <w:szCs w:val="22"/>
          <w:u w:val="none"/>
        </w:rPr>
      </w:pPr>
      <w:r w:rsidDel="00000000" w:rsidR="00000000" w:rsidRPr="00000000">
        <w:rPr>
          <w:sz w:val="22"/>
          <w:szCs w:val="22"/>
          <w:rtl w:val="0"/>
        </w:rPr>
        <w:t xml:space="preserve">Schedule training: HR will coordinate with trainers and managers to schedule training sessions and create the training calendar.</w:t>
      </w:r>
    </w:p>
    <w:p w:rsidR="00000000" w:rsidDel="00000000" w:rsidP="00000000" w:rsidRDefault="00000000" w:rsidRPr="00000000" w14:paraId="0000001E">
      <w:pPr>
        <w:numPr>
          <w:ilvl w:val="0"/>
          <w:numId w:val="1"/>
        </w:numPr>
        <w:ind w:left="720" w:hanging="360"/>
        <w:rPr>
          <w:sz w:val="22"/>
          <w:szCs w:val="22"/>
          <w:u w:val="none"/>
        </w:rPr>
      </w:pPr>
      <w:r w:rsidDel="00000000" w:rsidR="00000000" w:rsidRPr="00000000">
        <w:rPr>
          <w:sz w:val="22"/>
          <w:szCs w:val="22"/>
          <w:rtl w:val="0"/>
        </w:rPr>
        <w:t xml:space="preserve">Communicate the training calendar: HR will make the training calendar available to all employees, either through email or by posting it on the company intranet.</w:t>
      </w:r>
    </w:p>
    <w:p w:rsidR="00000000" w:rsidDel="00000000" w:rsidP="00000000" w:rsidRDefault="00000000" w:rsidRPr="00000000" w14:paraId="0000001F">
      <w:pPr>
        <w:numPr>
          <w:ilvl w:val="0"/>
          <w:numId w:val="1"/>
        </w:numPr>
        <w:ind w:left="720" w:hanging="360"/>
        <w:rPr>
          <w:sz w:val="22"/>
          <w:szCs w:val="22"/>
          <w:u w:val="none"/>
        </w:rPr>
      </w:pPr>
      <w:r w:rsidDel="00000000" w:rsidR="00000000" w:rsidRPr="00000000">
        <w:rPr>
          <w:sz w:val="22"/>
          <w:szCs w:val="22"/>
          <w:rtl w:val="0"/>
        </w:rPr>
        <w:t xml:space="preserve">Attend training: Employees are required to attend all scheduled training sessions and complete any necessary follow-up tasks or assignments.</w:t>
      </w:r>
    </w:p>
    <w:p w:rsidR="00000000" w:rsidDel="00000000" w:rsidP="00000000" w:rsidRDefault="00000000" w:rsidRPr="00000000" w14:paraId="00000020">
      <w:pPr>
        <w:numPr>
          <w:ilvl w:val="0"/>
          <w:numId w:val="1"/>
        </w:numPr>
        <w:ind w:left="720" w:hanging="360"/>
        <w:rPr>
          <w:sz w:val="22"/>
          <w:szCs w:val="22"/>
          <w:u w:val="none"/>
        </w:rPr>
      </w:pPr>
      <w:r w:rsidDel="00000000" w:rsidR="00000000" w:rsidRPr="00000000">
        <w:rPr>
          <w:sz w:val="22"/>
          <w:szCs w:val="22"/>
          <w:rtl w:val="0"/>
        </w:rPr>
        <w:t xml:space="preserve">Review and update the training calendar: HR will regularly review the training calendar and update it as necessary to ensure that all employees receive the training they need.</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Fonts w:ascii="Trebuchet MS" w:cs="Trebuchet MS" w:eastAsia="Trebuchet MS" w:hAnsi="Trebuchet MS"/>
          <w:sz w:val="32"/>
          <w:szCs w:val="32"/>
          <w:rtl w:val="0"/>
        </w:rPr>
        <w:t xml:space="preserve">Risks:</w:t>
      </w:r>
      <w:r w:rsidDel="00000000" w:rsidR="00000000" w:rsidRPr="00000000">
        <w:rPr>
          <w:rtl w:val="0"/>
        </w:rPr>
      </w:r>
    </w:p>
    <w:p w:rsidR="00000000" w:rsidDel="00000000" w:rsidP="00000000" w:rsidRDefault="00000000" w:rsidRPr="00000000" w14:paraId="00000023">
      <w:pPr>
        <w:numPr>
          <w:ilvl w:val="0"/>
          <w:numId w:val="4"/>
        </w:numPr>
        <w:ind w:left="720" w:hanging="360"/>
        <w:rPr>
          <w:sz w:val="22"/>
          <w:szCs w:val="22"/>
          <w:u w:val="none"/>
        </w:rPr>
      </w:pPr>
      <w:r w:rsidDel="00000000" w:rsidR="00000000" w:rsidRPr="00000000">
        <w:rPr>
          <w:sz w:val="22"/>
          <w:szCs w:val="22"/>
          <w:rtl w:val="0"/>
        </w:rPr>
        <w:t xml:space="preserve">Failure to identify training needs: if the training needs of employees are not identified, they may not receive the training they need to perform their job duties effectively.</w:t>
      </w:r>
    </w:p>
    <w:p w:rsidR="00000000" w:rsidDel="00000000" w:rsidP="00000000" w:rsidRDefault="00000000" w:rsidRPr="00000000" w14:paraId="00000024">
      <w:pPr>
        <w:numPr>
          <w:ilvl w:val="0"/>
          <w:numId w:val="4"/>
        </w:numPr>
        <w:ind w:left="720" w:hanging="360"/>
        <w:rPr>
          <w:sz w:val="22"/>
          <w:szCs w:val="22"/>
          <w:u w:val="none"/>
        </w:rPr>
      </w:pPr>
      <w:r w:rsidDel="00000000" w:rsidR="00000000" w:rsidRPr="00000000">
        <w:rPr>
          <w:sz w:val="22"/>
          <w:szCs w:val="22"/>
          <w:rtl w:val="0"/>
        </w:rPr>
        <w:t xml:space="preserve">Scheduling conflicts: employees may have scheduling conflicts that prevent them from attending training sessions.</w:t>
      </w:r>
    </w:p>
    <w:p w:rsidR="00000000" w:rsidDel="00000000" w:rsidP="00000000" w:rsidRDefault="00000000" w:rsidRPr="00000000" w14:paraId="00000025">
      <w:pPr>
        <w:numPr>
          <w:ilvl w:val="0"/>
          <w:numId w:val="4"/>
        </w:numPr>
        <w:ind w:left="720" w:hanging="360"/>
        <w:rPr>
          <w:sz w:val="22"/>
          <w:szCs w:val="22"/>
          <w:u w:val="none"/>
        </w:rPr>
      </w:pPr>
      <w:r w:rsidDel="00000000" w:rsidR="00000000" w:rsidRPr="00000000">
        <w:rPr>
          <w:sz w:val="22"/>
          <w:szCs w:val="22"/>
          <w:rtl w:val="0"/>
        </w:rPr>
        <w:t xml:space="preserve">Lack of participation: employees may not attend training sessions or may not take them seriously, which can negatively impact their performance.</w:t>
      </w:r>
    </w:p>
    <w:p w:rsidR="00000000" w:rsidDel="00000000" w:rsidP="00000000" w:rsidRDefault="00000000" w:rsidRPr="00000000" w14:paraId="00000026">
      <w:pPr>
        <w:numPr>
          <w:ilvl w:val="0"/>
          <w:numId w:val="4"/>
        </w:numPr>
        <w:ind w:left="720" w:hanging="360"/>
        <w:rPr>
          <w:sz w:val="22"/>
          <w:szCs w:val="22"/>
          <w:u w:val="none"/>
        </w:rPr>
      </w:pPr>
      <w:r w:rsidDel="00000000" w:rsidR="00000000" w:rsidRPr="00000000">
        <w:rPr>
          <w:sz w:val="22"/>
          <w:szCs w:val="22"/>
          <w:rtl w:val="0"/>
        </w:rPr>
        <w:t xml:space="preserve">Insufficient resources: if sufficient resources are not allocated for training, employees may not receive the training they need in a timely manner.</w:t>
        <w:br w:type="textWrapping"/>
      </w:r>
    </w:p>
    <w:p w:rsidR="00000000" w:rsidDel="00000000" w:rsidP="00000000" w:rsidRDefault="00000000" w:rsidRPr="00000000" w14:paraId="00000027">
      <w:pPr>
        <w:rPr>
          <w:sz w:val="22"/>
          <w:szCs w:val="22"/>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ExtraBold">
    <w:embedBold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jc w:val="right"/>
      <w:rPr/>
    </w:pPr>
    <w:hyperlink r:id="rId1">
      <w:r w:rsidDel="00000000" w:rsidR="00000000" w:rsidRPr="00000000">
        <w:rPr>
          <w:color w:val="1155cc"/>
          <w:u w:val="single"/>
          <w:rtl w:val="0"/>
        </w:rPr>
        <w:t xml:space="preserve">membership.chrmp.com </w:t>
      </w:r>
    </w:hyperlink>
    <w:r w:rsidDel="00000000" w:rsidR="00000000" w:rsidRPr="00000000">
      <w:rPr>
        <w:rtl w:val="0"/>
      </w:rPr>
      <w:t xml:space="preserve">                                                                               </w:t>
    </w:r>
    <w:r w:rsidDel="00000000" w:rsidR="00000000" w:rsidRPr="00000000">
      <w:rPr/>
      <w:drawing>
        <wp:inline distB="114300" distT="114300" distL="114300" distR="114300">
          <wp:extent cx="857250" cy="457200"/>
          <wp:effectExtent b="0" l="0" r="0" t="0"/>
          <wp:docPr id="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57250" cy="4572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drawing>
        <wp:anchor allowOverlap="1" behindDoc="0" distB="0" distT="0" distL="0" distR="0" hidden="0" layoutInCell="1" locked="0" relativeHeight="0" simplePos="0">
          <wp:simplePos x="0" y="0"/>
          <wp:positionH relativeFrom="page">
            <wp:posOffset>-42862</wp:posOffset>
          </wp:positionH>
          <wp:positionV relativeFrom="page">
            <wp:posOffset>-38099</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ExtraBold-bold.ttf"/><Relationship Id="rId6" Type="http://schemas.openxmlformats.org/officeDocument/2006/relationships/font" Target="fonts/OpenSansExtraBold-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membership.chrmp.com" TargetMode="External"/><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