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ssm4e03lk6rg" w:id="0"/>
      <w:bookmarkEnd w:id="0"/>
      <w:r w:rsidDel="00000000" w:rsidR="00000000" w:rsidRPr="00000000">
        <w:rPr>
          <w:rtl w:val="0"/>
        </w:rPr>
        <w:t xml:space="preserve">A guide to Key Performance Indicators( KPIs) for the  Investment Banker</w:t>
      </w:r>
    </w:p>
    <w:p w:rsidR="00000000" w:rsidDel="00000000" w:rsidP="00000000" w:rsidRDefault="00000000" w:rsidRPr="00000000" w14:paraId="00000002">
      <w:pPr>
        <w:pStyle w:val="Heading1"/>
        <w:rPr/>
      </w:pPr>
      <w:bookmarkStart w:colFirst="0" w:colLast="0" w:name="_1dewqkphnaf5" w:id="1"/>
      <w:bookmarkEnd w:id="1"/>
      <w:r w:rsidDel="00000000" w:rsidR="00000000" w:rsidRPr="00000000">
        <w:rPr>
          <w:rtl w:val="0"/>
        </w:rPr>
        <w:t xml:space="preserve">Section 1: Instructions for using the KPI Guide in your Performance Management System</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numPr>
          <w:ilvl w:val="0"/>
          <w:numId w:val="1"/>
        </w:numPr>
        <w:ind w:left="720" w:hanging="360"/>
        <w:rPr/>
      </w:pPr>
      <w:r w:rsidDel="00000000" w:rsidR="00000000" w:rsidRPr="00000000">
        <w:rPr>
          <w:rtl w:val="0"/>
        </w:rPr>
        <w:t xml:space="preserve">Identify the relevant KPIs: Depending on your role in the organization, you may want to focus on different KPIs. For example, HR professionals may want to track cost per hire, while managers may be more interested in the time-to-fill metric.</w:t>
      </w:r>
    </w:p>
    <w:p w:rsidR="00000000" w:rsidDel="00000000" w:rsidP="00000000" w:rsidRDefault="00000000" w:rsidRPr="00000000" w14:paraId="00000005">
      <w:pPr>
        <w:ind w:left="720" w:firstLine="0"/>
        <w:rPr/>
      </w:pPr>
      <w:r w:rsidDel="00000000" w:rsidR="00000000" w:rsidRPr="00000000">
        <w:rPr>
          <w:rtl w:val="0"/>
        </w:rPr>
      </w:r>
    </w:p>
    <w:p w:rsidR="00000000" w:rsidDel="00000000" w:rsidP="00000000" w:rsidRDefault="00000000" w:rsidRPr="00000000" w14:paraId="00000006">
      <w:pPr>
        <w:numPr>
          <w:ilvl w:val="0"/>
          <w:numId w:val="1"/>
        </w:numPr>
        <w:ind w:left="720" w:hanging="360"/>
        <w:rPr/>
      </w:pPr>
      <w:r w:rsidDel="00000000" w:rsidR="00000000" w:rsidRPr="00000000">
        <w:rPr>
          <w:rtl w:val="0"/>
        </w:rPr>
        <w:t xml:space="preserve">Determine the time frame: Decide on the time frame for tracking each KPI. For example, you may choose to track the number of qualified technical candidates sourced and engaged per month.</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numPr>
          <w:ilvl w:val="0"/>
          <w:numId w:val="1"/>
        </w:numPr>
        <w:ind w:left="720" w:hanging="360"/>
        <w:rPr/>
      </w:pPr>
      <w:r w:rsidDel="00000000" w:rsidR="00000000" w:rsidRPr="00000000">
        <w:rPr>
          <w:rtl w:val="0"/>
        </w:rPr>
        <w:t xml:space="preserve">Collect the data: Collect the necessary data to calculate each KPI. For example, to calculate the candidate acceptance rate, you will need to  know the number of job offers accepted and the total number of job offers.</w:t>
      </w:r>
    </w:p>
    <w:p w:rsidR="00000000" w:rsidDel="00000000" w:rsidP="00000000" w:rsidRDefault="00000000" w:rsidRPr="00000000" w14:paraId="00000009">
      <w:pPr>
        <w:ind w:left="720" w:firstLine="0"/>
        <w:rPr/>
      </w:pPr>
      <w:r w:rsidDel="00000000" w:rsidR="00000000" w:rsidRPr="00000000">
        <w:rPr>
          <w:rtl w:val="0"/>
        </w:rPr>
      </w:r>
    </w:p>
    <w:p w:rsidR="00000000" w:rsidDel="00000000" w:rsidP="00000000" w:rsidRDefault="00000000" w:rsidRPr="00000000" w14:paraId="0000000A">
      <w:pPr>
        <w:numPr>
          <w:ilvl w:val="0"/>
          <w:numId w:val="1"/>
        </w:numPr>
        <w:ind w:left="720" w:hanging="360"/>
        <w:rPr/>
      </w:pPr>
      <w:r w:rsidDel="00000000" w:rsidR="00000000" w:rsidRPr="00000000">
        <w:rPr>
          <w:rtl w:val="0"/>
        </w:rPr>
        <w:t xml:space="preserve">Calculate the KPIs: Use the formulas provided in the table to calculate each KPI.</w:t>
      </w:r>
    </w:p>
    <w:p w:rsidR="00000000" w:rsidDel="00000000" w:rsidP="00000000" w:rsidRDefault="00000000" w:rsidRPr="00000000" w14:paraId="0000000B">
      <w:pPr>
        <w:ind w:left="720" w:firstLine="0"/>
        <w:rPr/>
      </w:pPr>
      <w:r w:rsidDel="00000000" w:rsidR="00000000" w:rsidRPr="00000000">
        <w:rPr>
          <w:rtl w:val="0"/>
        </w:rPr>
      </w:r>
    </w:p>
    <w:p w:rsidR="00000000" w:rsidDel="00000000" w:rsidP="00000000" w:rsidRDefault="00000000" w:rsidRPr="00000000" w14:paraId="0000000C">
      <w:pPr>
        <w:numPr>
          <w:ilvl w:val="0"/>
          <w:numId w:val="1"/>
        </w:numPr>
        <w:ind w:left="720" w:hanging="360"/>
        <w:rPr/>
      </w:pPr>
      <w:r w:rsidDel="00000000" w:rsidR="00000000" w:rsidRPr="00000000">
        <w:rPr>
          <w:rtl w:val="0"/>
        </w:rPr>
        <w:t xml:space="preserve">Interpret the results: Once you have calculated the KPIs, interpret the results to evaluate the effectiveness of the performance management system. For example, if the time-to-fill metric is high, it may indicate that the recruitment process needs to be streamlined.</w:t>
      </w:r>
    </w:p>
    <w:p w:rsidR="00000000" w:rsidDel="00000000" w:rsidP="00000000" w:rsidRDefault="00000000" w:rsidRPr="00000000" w14:paraId="0000000D">
      <w:pPr>
        <w:ind w:left="720" w:firstLine="0"/>
        <w:rPr/>
      </w:pPr>
      <w:r w:rsidDel="00000000" w:rsidR="00000000" w:rsidRPr="00000000">
        <w:rPr>
          <w:rtl w:val="0"/>
        </w:rPr>
      </w:r>
    </w:p>
    <w:p w:rsidR="00000000" w:rsidDel="00000000" w:rsidP="00000000" w:rsidRDefault="00000000" w:rsidRPr="00000000" w14:paraId="0000000E">
      <w:pPr>
        <w:numPr>
          <w:ilvl w:val="0"/>
          <w:numId w:val="1"/>
        </w:numPr>
        <w:ind w:left="720" w:hanging="360"/>
        <w:rPr/>
      </w:pPr>
      <w:r w:rsidDel="00000000" w:rsidR="00000000" w:rsidRPr="00000000">
        <w:rPr>
          <w:rtl w:val="0"/>
        </w:rPr>
        <w:t xml:space="preserve">Use the results to make improvements: Regularly collect the necessary data for each KPI.  Keep track of the results over time to monitor performance, identify areas for improvement, and ensure compliance with regulations. Use the insights gained from the KPIs to make improvements to the performance management system. For example, if the candidate satisfaction rate with the recruitment process is low, consider making changes to improve the candidate experience.</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pStyle w:val="Heading1"/>
        <w:rPr/>
      </w:pPr>
      <w:bookmarkStart w:colFirst="0" w:colLast="0" w:name="_p60m2533t1n8" w:id="2"/>
      <w:bookmarkEnd w:id="2"/>
      <w:r w:rsidDel="00000000" w:rsidR="00000000" w:rsidRPr="00000000">
        <w:rPr>
          <w:rtl w:val="0"/>
        </w:rPr>
        <w:t xml:space="preserve">Section 2: Key Performance Indicators For Role  Investment Banker</w:t>
      </w:r>
    </w:p>
    <w:p w:rsidR="00000000" w:rsidDel="00000000" w:rsidP="00000000" w:rsidRDefault="00000000" w:rsidRPr="00000000" w14:paraId="00000012">
      <w:pPr>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53.6448598130842"/>
        <w:gridCol w:w="4344.672897196262"/>
        <w:gridCol w:w="3061.6822429906542"/>
        <w:tblGridChange w:id="0">
          <w:tblGrid>
            <w:gridCol w:w="1953.6448598130842"/>
            <w:gridCol w:w="4344.672897196262"/>
            <w:gridCol w:w="3061.6822429906542"/>
          </w:tblGrid>
        </w:tblGridChange>
      </w:tblGrid>
      <w:tr>
        <w:trPr>
          <w:cantSplit w:val="0"/>
          <w:trHeight w:val="315" w:hRule="atLeast"/>
          <w:tblHeader w:val="0"/>
        </w:trPr>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13">
            <w:pPr>
              <w:spacing w:after="240" w:before="240" w:lineRule="auto"/>
              <w:rPr>
                <w:b w:val="1"/>
                <w:bCs w:val="1"/>
                <w:i w:val="1"/>
                <w:iCs w:val="1"/>
              </w:rPr>
            </w:pPr>
            <w:r w:rsidDel="00000000" w:rsidR="00000000" w:rsidRPr="00000000">
              <w:rPr>
                <w:b w:val="1"/>
                <w:bCs w:val="1"/>
                <w:i w:val="1"/>
                <w:iCs w:val="1"/>
                <w:rtl w:val="0"/>
              </w:rPr>
              <w:t xml:space="preserve">KPI</w:t>
            </w:r>
          </w:p>
        </w:tc>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14">
            <w:pPr>
              <w:spacing w:after="240" w:before="240" w:lineRule="auto"/>
              <w:rPr>
                <w:b w:val="1"/>
                <w:bCs w:val="1"/>
                <w:i w:val="1"/>
                <w:iCs w:val="1"/>
              </w:rPr>
            </w:pPr>
            <w:r w:rsidDel="00000000" w:rsidR="00000000" w:rsidRPr="00000000">
              <w:rPr>
                <w:b w:val="1"/>
                <w:bCs w:val="1"/>
                <w:i w:val="1"/>
                <w:iCs w:val="1"/>
                <w:rtl w:val="0"/>
              </w:rPr>
              <w:t xml:space="preserve">Detailed Description</w:t>
            </w:r>
          </w:p>
        </w:tc>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15">
            <w:pPr>
              <w:spacing w:after="240" w:before="240" w:lineRule="auto"/>
              <w:rPr>
                <w:b w:val="1"/>
                <w:bCs w:val="1"/>
                <w:i w:val="1"/>
                <w:iCs w:val="1"/>
              </w:rPr>
            </w:pPr>
            <w:r w:rsidDel="00000000" w:rsidR="00000000" w:rsidRPr="00000000">
              <w:rPr>
                <w:b w:val="1"/>
                <w:bCs w:val="1"/>
                <w:i w:val="1"/>
                <w:iCs w:val="1"/>
                <w:rtl w:val="0"/>
              </w:rPr>
              <w:t xml:space="preserve">Formula</w:t>
            </w:r>
          </w:p>
        </w:tc>
      </w:tr>
      <w:tr>
        <w:trPr>
          <w:cantSplit w:val="0"/>
          <w:trHeight w:val="1095" w:hRule="atLeast"/>
          <w:tblHeader w:val="0"/>
        </w:trPr>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16">
            <w:pPr>
              <w:spacing w:after="240" w:before="240" w:lineRule="auto"/>
              <w:rPr/>
            </w:pPr>
            <w:r w:rsidDel="00000000" w:rsidR="00000000" w:rsidRPr="00000000">
              <w:rPr>
                <w:rtl w:val="0"/>
              </w:rPr>
              <w:t xml:space="preserve">Deal Completion Rate</w:t>
            </w:r>
          </w:p>
        </w:tc>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17">
            <w:pPr>
              <w:spacing w:after="240" w:before="240" w:lineRule="auto"/>
              <w:rPr/>
            </w:pPr>
            <w:r w:rsidDel="00000000" w:rsidR="00000000" w:rsidRPr="00000000">
              <w:rPr>
                <w:rtl w:val="0"/>
              </w:rPr>
              <w:t xml:space="preserve">This KPI measures the percentage of deals successfully completed by the Investment Banker within a specific period.</w:t>
            </w:r>
          </w:p>
        </w:tc>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18">
            <w:pPr>
              <w:spacing w:after="240" w:before="240" w:lineRule="auto"/>
              <w:rPr/>
            </w:pPr>
            <w:r w:rsidDel="00000000" w:rsidR="00000000" w:rsidRPr="00000000">
              <w:rPr>
                <w:rtl w:val="0"/>
              </w:rPr>
              <w:t xml:space="preserve">(Number of completed deals / Total number of initiated deals) x 100</w:t>
            </w:r>
          </w:p>
        </w:tc>
      </w:tr>
      <w:tr>
        <w:trPr>
          <w:cantSplit w:val="0"/>
          <w:trHeight w:val="1095" w:hRule="atLeast"/>
          <w:tblHeader w:val="0"/>
        </w:trPr>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19">
            <w:pPr>
              <w:spacing w:after="240" w:before="240" w:lineRule="auto"/>
              <w:rPr/>
            </w:pPr>
            <w:r w:rsidDel="00000000" w:rsidR="00000000" w:rsidRPr="00000000">
              <w:rPr>
                <w:rtl w:val="0"/>
              </w:rPr>
              <w:t xml:space="preserve">Client Satisfaction Rating</w:t>
            </w:r>
          </w:p>
        </w:tc>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1A">
            <w:pPr>
              <w:spacing w:after="240" w:before="240" w:lineRule="auto"/>
              <w:rPr/>
            </w:pPr>
            <w:r w:rsidDel="00000000" w:rsidR="00000000" w:rsidRPr="00000000">
              <w:rPr>
                <w:rtl w:val="0"/>
              </w:rPr>
              <w:t xml:space="preserve">This KPI assesses the satisfaction level of clients with the Investment Banker's services, indicating the quality of client relationships.</w:t>
            </w:r>
          </w:p>
        </w:tc>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1B">
            <w:pPr>
              <w:spacing w:after="240" w:before="240" w:lineRule="auto"/>
              <w:rPr/>
            </w:pPr>
            <w:r w:rsidDel="00000000" w:rsidR="00000000" w:rsidRPr="00000000">
              <w:rPr>
                <w:rtl w:val="0"/>
              </w:rPr>
              <w:t xml:space="preserve">(Sum of client satisfaction ratings / Total number of clients)</w:t>
            </w:r>
          </w:p>
        </w:tc>
      </w:tr>
      <w:tr>
        <w:trPr>
          <w:cantSplit w:val="0"/>
          <w:trHeight w:val="1095" w:hRule="atLeast"/>
          <w:tblHeader w:val="0"/>
        </w:trPr>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1C">
            <w:pPr>
              <w:spacing w:after="240" w:before="240" w:lineRule="auto"/>
              <w:rPr/>
            </w:pPr>
            <w:r w:rsidDel="00000000" w:rsidR="00000000" w:rsidRPr="00000000">
              <w:rPr>
                <w:rtl w:val="0"/>
              </w:rPr>
              <w:t xml:space="preserve">Investment Portfolio Performance</w:t>
            </w:r>
          </w:p>
        </w:tc>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1D">
            <w:pPr>
              <w:spacing w:after="240" w:before="240" w:lineRule="auto"/>
              <w:rPr/>
            </w:pPr>
            <w:r w:rsidDel="00000000" w:rsidR="00000000" w:rsidRPr="00000000">
              <w:rPr>
                <w:rtl w:val="0"/>
              </w:rPr>
              <w:t xml:space="preserve">This KPI measures the return on investment (ROI) and overall performance of investment portfolios managed by the Investment Banker.</w:t>
            </w:r>
          </w:p>
        </w:tc>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1E">
            <w:pPr>
              <w:spacing w:after="240" w:before="240" w:lineRule="auto"/>
              <w:rPr/>
            </w:pPr>
            <w:r w:rsidDel="00000000" w:rsidR="00000000" w:rsidRPr="00000000">
              <w:rPr>
                <w:rtl w:val="0"/>
              </w:rPr>
              <w:t xml:space="preserve">(Total portfolio value - Initial investment) / Initial investment</w:t>
            </w:r>
          </w:p>
        </w:tc>
      </w:tr>
      <w:tr>
        <w:trPr>
          <w:cantSplit w:val="0"/>
          <w:trHeight w:val="825" w:hRule="atLeast"/>
          <w:tblHeader w:val="0"/>
        </w:trPr>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1F">
            <w:pPr>
              <w:spacing w:after="240" w:before="240" w:lineRule="auto"/>
              <w:rPr/>
            </w:pPr>
            <w:r w:rsidDel="00000000" w:rsidR="00000000" w:rsidRPr="00000000">
              <w:rPr>
                <w:rtl w:val="0"/>
              </w:rPr>
              <w:t xml:space="preserve">New Business Acquisition Rate</w:t>
            </w:r>
          </w:p>
        </w:tc>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20">
            <w:pPr>
              <w:spacing w:after="240" w:before="240" w:lineRule="auto"/>
              <w:rPr/>
            </w:pPr>
            <w:r w:rsidDel="00000000" w:rsidR="00000000" w:rsidRPr="00000000">
              <w:rPr>
                <w:rtl w:val="0"/>
              </w:rPr>
              <w:t xml:space="preserve">This KPI assesses the rate at which the Investment Banker acquires new clients or expands business with existing clients.</w:t>
            </w:r>
          </w:p>
        </w:tc>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21">
            <w:pPr>
              <w:spacing w:after="240" w:before="240" w:lineRule="auto"/>
              <w:rPr/>
            </w:pPr>
            <w:r w:rsidDel="00000000" w:rsidR="00000000" w:rsidRPr="00000000">
              <w:rPr>
                <w:rtl w:val="0"/>
              </w:rPr>
              <w:t xml:space="preserve">(Number of new clients acquired / Total number of potential clients) x 100</w:t>
            </w:r>
          </w:p>
        </w:tc>
      </w:tr>
      <w:tr>
        <w:trPr>
          <w:cantSplit w:val="0"/>
          <w:trHeight w:val="1095" w:hRule="atLeast"/>
          <w:tblHeader w:val="0"/>
        </w:trPr>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22">
            <w:pPr>
              <w:spacing w:after="240" w:before="240" w:lineRule="auto"/>
              <w:rPr/>
            </w:pPr>
            <w:r w:rsidDel="00000000" w:rsidR="00000000" w:rsidRPr="00000000">
              <w:rPr>
                <w:rtl w:val="0"/>
              </w:rPr>
              <w:t xml:space="preserve">Deal Pipeline Value</w:t>
            </w:r>
          </w:p>
        </w:tc>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23">
            <w:pPr>
              <w:spacing w:after="240" w:before="240" w:lineRule="auto"/>
              <w:rPr/>
            </w:pPr>
            <w:r w:rsidDel="00000000" w:rsidR="00000000" w:rsidRPr="00000000">
              <w:rPr>
                <w:rtl w:val="0"/>
              </w:rPr>
              <w:t xml:space="preserve">This KPI measures the total value of potential deals in the Investment Banker's pipeline, indicating the potential revenue generation.</w:t>
            </w:r>
          </w:p>
        </w:tc>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24">
            <w:pPr>
              <w:spacing w:after="240" w:before="240" w:lineRule="auto"/>
              <w:rPr/>
            </w:pPr>
            <w:r w:rsidDel="00000000" w:rsidR="00000000" w:rsidRPr="00000000">
              <w:rPr>
                <w:rtl w:val="0"/>
              </w:rPr>
              <w:t xml:space="preserve">Sum of the values of all potential deals in the pipeline</w:t>
            </w:r>
          </w:p>
        </w:tc>
      </w:tr>
      <w:tr>
        <w:trPr>
          <w:cantSplit w:val="0"/>
          <w:trHeight w:val="1095" w:hRule="atLeast"/>
          <w:tblHeader w:val="0"/>
        </w:trPr>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25">
            <w:pPr>
              <w:spacing w:after="240" w:before="240" w:lineRule="auto"/>
              <w:rPr/>
            </w:pPr>
            <w:r w:rsidDel="00000000" w:rsidR="00000000" w:rsidRPr="00000000">
              <w:rPr>
                <w:rtl w:val="0"/>
              </w:rPr>
              <w:t xml:space="preserve">Revenue Generated per Client</w:t>
            </w:r>
          </w:p>
        </w:tc>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26">
            <w:pPr>
              <w:spacing w:after="240" w:before="240" w:lineRule="auto"/>
              <w:rPr/>
            </w:pPr>
            <w:r w:rsidDel="00000000" w:rsidR="00000000" w:rsidRPr="00000000">
              <w:rPr>
                <w:rtl w:val="0"/>
              </w:rPr>
              <w:t xml:space="preserve">This KPI calculates the average revenue generated from each client, providing insights into the profitability of client relationships.</w:t>
            </w:r>
          </w:p>
        </w:tc>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27">
            <w:pPr>
              <w:spacing w:after="240" w:before="240" w:lineRule="auto"/>
              <w:rPr/>
            </w:pPr>
            <w:r w:rsidDel="00000000" w:rsidR="00000000" w:rsidRPr="00000000">
              <w:rPr>
                <w:rtl w:val="0"/>
              </w:rPr>
              <w:t xml:space="preserve">Total revenue generated / Total number of clients</w:t>
            </w:r>
          </w:p>
        </w:tc>
      </w:tr>
      <w:tr>
        <w:trPr>
          <w:cantSplit w:val="0"/>
          <w:trHeight w:val="825" w:hRule="atLeast"/>
          <w:tblHeader w:val="0"/>
        </w:trPr>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28">
            <w:pPr>
              <w:spacing w:after="240" w:before="240" w:lineRule="auto"/>
              <w:rPr/>
            </w:pPr>
            <w:r w:rsidDel="00000000" w:rsidR="00000000" w:rsidRPr="00000000">
              <w:rPr>
                <w:rtl w:val="0"/>
              </w:rPr>
              <w:t xml:space="preserve">Success Rate in Pitch Presentations</w:t>
            </w:r>
          </w:p>
        </w:tc>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29">
            <w:pPr>
              <w:spacing w:after="240" w:before="240" w:lineRule="auto"/>
              <w:rPr/>
            </w:pPr>
            <w:r w:rsidDel="00000000" w:rsidR="00000000" w:rsidRPr="00000000">
              <w:rPr>
                <w:rtl w:val="0"/>
              </w:rPr>
              <w:t xml:space="preserve">This KPI measures the success rate of the Investment Banker in converting pitch presentations into secured deals.</w:t>
            </w:r>
          </w:p>
        </w:tc>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2A">
            <w:pPr>
              <w:spacing w:after="240" w:before="240" w:lineRule="auto"/>
              <w:rPr/>
            </w:pPr>
            <w:r w:rsidDel="00000000" w:rsidR="00000000" w:rsidRPr="00000000">
              <w:rPr>
                <w:rtl w:val="0"/>
              </w:rPr>
              <w:t xml:space="preserve">(Number of successful pitches / Total number of pitch presentations) x 100</w:t>
            </w:r>
          </w:p>
        </w:tc>
      </w:tr>
      <w:tr>
        <w:trPr>
          <w:cantSplit w:val="0"/>
          <w:trHeight w:val="1095" w:hRule="atLeast"/>
          <w:tblHeader w:val="0"/>
        </w:trPr>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2B">
            <w:pPr>
              <w:spacing w:after="240" w:before="240" w:lineRule="auto"/>
              <w:rPr/>
            </w:pPr>
            <w:r w:rsidDel="00000000" w:rsidR="00000000" w:rsidRPr="00000000">
              <w:rPr>
                <w:rtl w:val="0"/>
              </w:rPr>
              <w:t xml:space="preserve">Deal Cycle Time</w:t>
            </w:r>
          </w:p>
        </w:tc>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2C">
            <w:pPr>
              <w:spacing w:after="240" w:before="240" w:lineRule="auto"/>
              <w:rPr/>
            </w:pPr>
            <w:r w:rsidDel="00000000" w:rsidR="00000000" w:rsidRPr="00000000">
              <w:rPr>
                <w:rtl w:val="0"/>
              </w:rPr>
              <w:t xml:space="preserve">This KPI measures the average time taken to complete a deal, from initiation to closure, providing insights into operational efficiency.</w:t>
            </w:r>
          </w:p>
        </w:tc>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2D">
            <w:pPr>
              <w:spacing w:after="240" w:before="240" w:lineRule="auto"/>
              <w:rPr/>
            </w:pPr>
            <w:r w:rsidDel="00000000" w:rsidR="00000000" w:rsidRPr="00000000">
              <w:rPr>
                <w:rtl w:val="0"/>
              </w:rPr>
              <w:t xml:space="preserve">Total time taken to complete deals / Number of completed deals</w:t>
            </w:r>
          </w:p>
        </w:tc>
      </w:tr>
      <w:tr>
        <w:trPr>
          <w:cantSplit w:val="0"/>
          <w:trHeight w:val="1095" w:hRule="atLeast"/>
          <w:tblHeader w:val="0"/>
        </w:trPr>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2E">
            <w:pPr>
              <w:spacing w:after="240" w:before="240" w:lineRule="auto"/>
              <w:rPr/>
            </w:pPr>
            <w:r w:rsidDel="00000000" w:rsidR="00000000" w:rsidRPr="00000000">
              <w:rPr>
                <w:rtl w:val="0"/>
              </w:rPr>
              <w:t xml:space="preserve">Market Share Growth</w:t>
            </w:r>
          </w:p>
        </w:tc>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2F">
            <w:pPr>
              <w:spacing w:after="240" w:before="240" w:lineRule="auto"/>
              <w:rPr/>
            </w:pPr>
            <w:r w:rsidDel="00000000" w:rsidR="00000000" w:rsidRPr="00000000">
              <w:rPr>
                <w:rtl w:val="0"/>
              </w:rPr>
              <w:t xml:space="preserve">This KPI assesses the growth rate of the Investment Banker's market share within the industry, indicating competitiveness and market position.</w:t>
            </w:r>
          </w:p>
        </w:tc>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30">
            <w:pPr>
              <w:spacing w:after="240" w:before="240" w:lineRule="auto"/>
              <w:rPr/>
            </w:pPr>
            <w:r w:rsidDel="00000000" w:rsidR="00000000" w:rsidRPr="00000000">
              <w:rPr>
                <w:rtl w:val="0"/>
              </w:rPr>
              <w:t xml:space="preserve">(New market share - Previous market share) / Previous market share</w:t>
            </w:r>
          </w:p>
        </w:tc>
      </w:tr>
      <w:tr>
        <w:trPr>
          <w:cantSplit w:val="0"/>
          <w:trHeight w:val="1095" w:hRule="atLeast"/>
          <w:tblHeader w:val="0"/>
        </w:trPr>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31">
            <w:pPr>
              <w:spacing w:after="240" w:before="240" w:lineRule="auto"/>
              <w:rPr/>
            </w:pPr>
            <w:r w:rsidDel="00000000" w:rsidR="00000000" w:rsidRPr="00000000">
              <w:rPr>
                <w:rtl w:val="0"/>
              </w:rPr>
              <w:t xml:space="preserve">Client Retention Rate</w:t>
            </w:r>
          </w:p>
        </w:tc>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32">
            <w:pPr>
              <w:spacing w:after="240" w:before="240" w:lineRule="auto"/>
              <w:rPr/>
            </w:pPr>
            <w:r w:rsidDel="00000000" w:rsidR="00000000" w:rsidRPr="00000000">
              <w:rPr>
                <w:rtl w:val="0"/>
              </w:rPr>
              <w:t xml:space="preserve">This KPI measures the percentage of clients retained by the Investment Banker over a specific period, indicating client satisfaction and loyalty.</w:t>
            </w:r>
          </w:p>
        </w:tc>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33">
            <w:pPr>
              <w:spacing w:after="240" w:before="240" w:lineRule="auto"/>
              <w:rPr/>
            </w:pPr>
            <w:r w:rsidDel="00000000" w:rsidR="00000000" w:rsidRPr="00000000">
              <w:rPr>
                <w:rtl w:val="0"/>
              </w:rPr>
              <w:t xml:space="preserve">(Number of retained clients / Total number of clients at the beginning of the period) x 100</w:t>
            </w:r>
          </w:p>
        </w:tc>
      </w:tr>
    </w:tbl>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pStyle w:val="Heading2"/>
        <w:rPr/>
      </w:pPr>
      <w:bookmarkStart w:colFirst="0" w:colLast="0" w:name="_jojizqi7k3lt" w:id="3"/>
      <w:bookmarkEnd w:id="3"/>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ind w:left="0" w:firstLine="0"/>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ind w:left="720" w:firstLine="0"/>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pageBreakBefore w:val="0"/>
      <w:jc w:val="right"/>
      <w:rPr/>
    </w:pPr>
    <w:r w:rsidDel="00000000" w:rsidR="00000000" w:rsidRPr="00000000">
      <w:rPr/>
      <w:drawing>
        <wp:inline distB="114300" distT="114300" distL="114300" distR="114300">
          <wp:extent cx="857250" cy="4572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46">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r>
  </w:p>
  <w:p w:rsidR="00000000" w:rsidDel="00000000" w:rsidP="00000000" w:rsidRDefault="00000000" w:rsidRPr="00000000" w14:paraId="00000047">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0</wp:posOffset>
          </wp:positionV>
          <wp:extent cx="7862726" cy="889161"/>
          <wp:effectExtent b="0" l="0" r="0" t="0"/>
          <wp:wrapTopAndBottom distB="0" distT="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862726" cy="889161"/>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Pr>
    <w:rPr>
      <w:b w:val="1"/>
      <w:bCs w:val="1"/>
      <w:i w:val="1"/>
      <w:iCs w:val="1"/>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CellMar/>
    </w:tblPr>
    <w:tcPr>
      <w:shd w:fill="f7f7f8"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s://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