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64" w:lineRule="auto"/>
        <w:rPr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Enterprise Architect with strong experience in banking and regulated environments, focused on scaling architecture decision-making and enabling safe adoption of AI and data capabilities. I design architecture operating models, governance frameworks and platform architectures that reduce bottlenecks, maintain control and help teams move faster.</w:t>
      </w:r>
    </w:p>
    <w:p w:rsidR="00000000" w:rsidDel="00000000" w:rsidP="00000000" w:rsidRDefault="00000000" w:rsidRPr="00000000" w14:paraId="00000003">
      <w:pPr>
        <w:spacing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My work spans enterprise and domain architecture, architecture review, data platforms, MDM, CRM, ML / GenAI platforms and AI-native transformation. I turn complex business, technology and regulatory requirements into reusable standards, decision frameworks, roadmaps and delivery guardrails.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60" w:line="240" w:lineRule="auto"/>
        <w:jc w:val="left"/>
        <w:rPr>
          <w:rFonts w:ascii="Roboto Condensed" w:cs="Roboto Condensed" w:eastAsia="Roboto Condensed" w:hAnsi="Roboto Condensed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3"/>
              <w:keepNext w:val="0"/>
              <w:keepLines w:val="0"/>
              <w:spacing w:after="0" w:before="0" w:lineRule="auto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bookmarkStart w:colFirst="0" w:colLast="0" w:name="_r9apwrloyq6" w:id="0"/>
            <w:bookmarkEnd w:id="0"/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6"/>
                <w:szCs w:val="26"/>
                <w:rtl w:val="0"/>
              </w:rPr>
              <w:t xml:space="preserve">CORE SKILLS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64" w:lineRule="auto"/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Architecture governance &amp; decision enablement: </w:t>
      </w:r>
      <w:r w:rsidDel="00000000" w:rsidR="00000000" w:rsidRPr="00000000">
        <w:rPr>
          <w:sz w:val="20"/>
          <w:szCs w:val="20"/>
          <w:rtl w:val="0"/>
        </w:rPr>
        <w:t xml:space="preserve">architecture operating models, Architecture Board decision flow, architecture review, ADR / EADR, reusable standards and patterns, architecture repository, technical debt governance, stakeholder alignment.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before="0" w:line="264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Enterprise &amp; domain architecture: </w:t>
      </w:r>
      <w:r w:rsidDel="00000000" w:rsidR="00000000" w:rsidRPr="00000000">
        <w:rPr>
          <w:sz w:val="20"/>
          <w:szCs w:val="20"/>
          <w:rtl w:val="0"/>
        </w:rPr>
        <w:t xml:space="preserve">architecture strategy, target architecture, domain decomposition, domain architecture, platform architecture, enterprise architecture metamodels, BIAN-aligned service models, capability / service maturity assessment, TOGAF, BIAN, CMMI.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="264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AI, Data &amp; platform architecture:</w:t>
      </w:r>
      <w:r w:rsidDel="00000000" w:rsidR="00000000" w:rsidRPr="00000000">
        <w:rPr>
          <w:sz w:val="20"/>
          <w:szCs w:val="20"/>
          <w:rtl w:val="0"/>
        </w:rPr>
        <w:t xml:space="preserve">, BI, DWH, Data Lake and Lakehouse, MDM, data governance, ML / GenAI platforms, MLOps, LLM, RAG, AI agents, MCP, A2A, AI governance and model risk.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before="0" w:line="264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Banking and regulated domains: </w:t>
      </w:r>
      <w:r w:rsidDel="00000000" w:rsidR="00000000" w:rsidRPr="00000000">
        <w:rPr>
          <w:sz w:val="20"/>
          <w:szCs w:val="20"/>
          <w:rtl w:val="0"/>
        </w:rPr>
        <w:t xml:space="preserve">retail lending, risk management, CRM, sales and personalisation, corporate finance, data platforms, governed AI adoption and large-scale transformation.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="264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Solution &amp; integration architecture: </w:t>
      </w:r>
      <w:r w:rsidDel="00000000" w:rsidR="00000000" w:rsidRPr="00000000">
        <w:rPr>
          <w:sz w:val="20"/>
          <w:szCs w:val="20"/>
          <w:rtl w:val="0"/>
        </w:rPr>
        <w:t xml:space="preserve">large-scale distributed systems, high-availability systems, microservices architecture and SOA , contract-first design, integration architecture and CRM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64" w:lineRule="auto"/>
        <w:ind w:left="720" w:firstLine="0"/>
        <w:rPr>
          <w:rFonts w:ascii="Roboto Condensed" w:cs="Roboto Condensed" w:eastAsia="Roboto Condensed" w:hAnsi="Roboto Condensed"/>
          <w:b w:val="1"/>
          <w:bCs w:val="1"/>
          <w:sz w:val="2"/>
          <w:szCs w:val="2"/>
          <w:shd w:fill="cfe2f3" w:val="clear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Style w:val="Heading3"/>
              <w:keepNext w:val="0"/>
              <w:keepLines w:val="0"/>
              <w:spacing w:after="0" w:before="0" w:line="240" w:lineRule="auto"/>
              <w:jc w:val="left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bookmarkStart w:colFirst="0" w:colLast="0" w:name="_x1k7gbzei4m1" w:id="1"/>
            <w:bookmarkEnd w:id="1"/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6"/>
                <w:szCs w:val="26"/>
                <w:rtl w:val="0"/>
              </w:rPr>
              <w:t xml:space="preserve">PROFESSIONAL EXPERIENCE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before="0" w:line="240" w:lineRule="auto"/>
        <w:jc w:val="left"/>
        <w:rPr>
          <w:rFonts w:ascii="Roboto Mono" w:cs="Roboto Mono" w:eastAsia="Roboto Mono" w:hAnsi="Roboto Mono"/>
          <w:b w:val="1"/>
          <w:bCs w:val="1"/>
          <w:sz w:val="2"/>
          <w:szCs w:val="2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"/>
          <w:szCs w:val="2"/>
          <w:rtl w:val="0"/>
        </w:rPr>
        <w:t xml:space="preserve"> </w:t>
      </w:r>
    </w:p>
    <w:tbl>
      <w:tblPr>
        <w:tblStyle w:val="Table3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2910"/>
        <w:gridCol w:w="5385"/>
        <w:tblGridChange w:id="0">
          <w:tblGrid>
            <w:gridCol w:w="1560"/>
            <w:gridCol w:w="2910"/>
            <w:gridCol w:w="53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0" w:line="240" w:lineRule="auto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2021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color w:val="188038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resent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0"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Alfa-Bank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0"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Enterprise Architect</w:t>
            </w:r>
          </w:p>
        </w:tc>
      </w:tr>
    </w:tbl>
    <w:p w:rsidR="00000000" w:rsidDel="00000000" w:rsidP="00000000" w:rsidRDefault="00000000" w:rsidRPr="00000000" w14:paraId="00000011">
      <w:pPr>
        <w:spacing w:after="0" w:before="0" w:line="240" w:lineRule="auto"/>
        <w:jc w:val="left"/>
        <w:rPr>
          <w:rFonts w:ascii="Roboto Mono" w:cs="Roboto Mono" w:eastAsia="Roboto Mono" w:hAnsi="Roboto Mono"/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Scaled architecture decision-making across the bank by establishing governance patterns, ADR / EADR practices and review guardrails, enabling 10–12 architectural changes per day to be assessed consistently against strategy, domain architecture, Architecture Board decisions and risk controls.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Developed the bank’s TOGAF-informed EA operating model: EA metamodel, domain decomposition, BIAN-aligned domain service model and CMMI-based capability / service maturity assessment.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Developed LLM-supported architecture practices for context structuring, knowledge reuse and review preparation, helping make architecture reviews faster, more consistent and less dependent on individual expert knowledge.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Converted recurring review themes into reusable standards and EADRs, including Data Governance by Design for pre-production impact assessment, sharding / distributed storage, ML / LLM inference boundaries, data acquisition and solution governance.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Provided EA oversight across retail lending, CRM, risk management, corporate finance, ML / GenAI, data platform and MDM, shaping target architectures, domain strategies and maturity assessments.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Formulated the bank’s AI-native transformation concept, covering governed GenAI adoption, architecture decision support, progress measurement and adoption across domains, systems and platforms.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Defined and governed ML / GenAI platform architecture across model training, testing and inference, MLOps, RAG, AI agents, A2A / MCP integration patterns and model risk controls.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Steered data platform architecture and drove MDM platform development across customer, product and universal master data domains, covering ingestion, BI, DWH, data lake / lakehouse, semantic layer, data distribution, sharding and distributed storage.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line="259.20000000000005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Designed CRM and retail lending sales platform architectures, covering product offer generation, AI-based offer assessment and offer distribution across sales channels; managed architectural technical debt across delivery teams.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2.00000000000003" w:lineRule="auto"/>
        <w:ind w:left="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785"/>
        <w:gridCol w:w="6510"/>
        <w:tblGridChange w:id="0">
          <w:tblGrid>
            <w:gridCol w:w="1560"/>
            <w:gridCol w:w="1785"/>
            <w:gridCol w:w="65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left"/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2020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color w:val="188038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RT-Labs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Chief Platform Architect</w:t>
            </w:r>
          </w:p>
        </w:tc>
      </w:tr>
    </w:tbl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Developed and defended the conceptual architecture of a national-scale public sector digital platform before a federal institution’s technology committee.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Defined the architectural transformation of the platform from a composite monolith towards a service-oriented and microservices architecture.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Established contract-first principles for interactions between platform modules.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Designed the architecture of a high-availability citizen-facing digital service module to support peak national-scale demand of up to 45 million concurrent authenticated users.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Provided architectural governance and implementation oversight.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Led an 8-person platform architecture team.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Established and maintained the platform architecture repository.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Defined and embedded an architectural governance process into the software delivery lifecycle.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left"/>
        <w:rPr>
          <w:rFonts w:ascii="Roboto Mono" w:cs="Roboto Mono" w:eastAsia="Roboto Mono" w:hAnsi="Roboto Mono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785"/>
        <w:gridCol w:w="6510"/>
        <w:tblGridChange w:id="0">
          <w:tblGrid>
            <w:gridCol w:w="1560"/>
            <w:gridCol w:w="1785"/>
            <w:gridCol w:w="65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left"/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2018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color w:val="188038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I-Teco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Head of Architecture</w:t>
            </w:r>
          </w:p>
        </w:tc>
      </w:tr>
    </w:tbl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Designed and defended the architecture of the </w:t>
      </w:r>
      <w:r w:rsidDel="00000000" w:rsidR="00000000" w:rsidRPr="00000000">
        <w:rPr>
          <w:sz w:val="20"/>
          <w:szCs w:val="20"/>
          <w:rtl w:val="0"/>
        </w:rPr>
        <w:t xml:space="preserve">‘Digital Drilling’ </w:t>
      </w:r>
      <w:r w:rsidDel="00000000" w:rsidR="00000000" w:rsidRPr="00000000">
        <w:rPr>
          <w:sz w:val="20"/>
          <w:szCs w:val="20"/>
          <w:rtl w:val="0"/>
        </w:rPr>
        <w:t xml:space="preserve">platform for automating well design, drilling operations and commissioning for Gazpromneft.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Designed a heterogeneous architecture combining service-oriented and microservices patterns, incorporating ML capabilities, computer vision and digital twins.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Defined pilot assumptions and supported successful pilot delivery.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Provided architectural governance over agreed solutions during delivery.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Co-developed a reference architecture model for an upstream oil and gas company in collaboration with experts from Rosneft, Halliburton and Schlumberger.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Led the architecture and analysis function for energy-sector engagements as a contractor, managing a team of more than 30 people.</w:t>
      </w:r>
    </w:p>
    <w:p w:rsidR="00000000" w:rsidDel="00000000" w:rsidP="00000000" w:rsidRDefault="00000000" w:rsidRPr="00000000" w14:paraId="00000031">
      <w:pPr>
        <w:spacing w:after="0" w:before="0" w:line="240" w:lineRule="auto"/>
        <w:ind w:lef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left"/>
        <w:rPr>
          <w:rFonts w:ascii="Roboto Mono" w:cs="Roboto Mono" w:eastAsia="Roboto Mono" w:hAnsi="Roboto Mono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785"/>
        <w:gridCol w:w="6510"/>
        <w:tblGridChange w:id="0">
          <w:tblGrid>
            <w:gridCol w:w="1560"/>
            <w:gridCol w:w="1785"/>
            <w:gridCol w:w="65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jc w:val="left"/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2017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color w:val="188038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Sberbank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Enterprise Architect</w:t>
            </w:r>
          </w:p>
        </w:tc>
      </w:tr>
    </w:tbl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Designed and defended the quarterly target architecture for the Currency Control stream within the international trade domain.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Contributed to currency control automation initiatives, including intelligent recognition and structuring of foreign trade contracts and RPA-based automation of foreign exchange contract processing.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Led a team of four service architects within the Currency Control stream.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left"/>
        <w:rPr>
          <w:rFonts w:ascii="Roboto Mono" w:cs="Roboto Mono" w:eastAsia="Roboto Mono" w:hAnsi="Roboto Mono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785"/>
        <w:gridCol w:w="6510"/>
        <w:tblGridChange w:id="0">
          <w:tblGrid>
            <w:gridCol w:w="1560"/>
            <w:gridCol w:w="1785"/>
            <w:gridCol w:w="65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jc w:val="left"/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2016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color w:val="188038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Roboto Mono" w:cs="Roboto Mono" w:eastAsia="Roboto Mono" w:hAnsi="Roboto Mono"/>
                <w:b w:val="1"/>
                <w:bCs w:val="1"/>
                <w:sz w:val="22"/>
                <w:szCs w:val="22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45818e" w:space="0" w:sz="1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IBS</w:t>
            </w:r>
          </w:p>
        </w:tc>
        <w:tc>
          <w:tcPr>
            <w:tcBorders>
              <w:top w:color="000000" w:space="0" w:sz="0" w:val="nil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Chief Software Architect</w:t>
            </w:r>
          </w:p>
        </w:tc>
      </w:tr>
    </w:tbl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Developed and defended the conceptual architecture for a federal wildfire monitoring information system covering protected natural areas for the Ministry of Natural Resources.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Detailed the system architecture and provided architectural governance over implementation across subcontractors.</w:t>
      </w:r>
    </w:p>
    <w:p w:rsidR="00000000" w:rsidDel="00000000" w:rsidP="00000000" w:rsidRDefault="00000000" w:rsidRPr="00000000" w14:paraId="0000003F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60" w:line="240" w:lineRule="auto"/>
              <w:jc w:val="left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rtl w:val="0"/>
              </w:rPr>
              <w:t xml:space="preserve">SELECTED INDUSTRY CONTRIBUTIONS</w:t>
            </w:r>
          </w:p>
        </w:tc>
      </w:tr>
    </w:tbl>
    <w:p w:rsidR="00000000" w:rsidDel="00000000" w:rsidP="00000000" w:rsidRDefault="00000000" w:rsidRPr="00000000" w14:paraId="00000041">
      <w:pPr>
        <w:numPr>
          <w:ilvl w:val="0"/>
          <w:numId w:val="4"/>
        </w:numPr>
        <w:spacing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2026</w:t>
      </w:r>
      <w:r w:rsidDel="00000000" w:rsidR="00000000" w:rsidRPr="00000000">
        <w:rPr>
          <w:sz w:val="20"/>
          <w:szCs w:val="20"/>
          <w:rtl w:val="0"/>
        </w:rPr>
        <w:t xml:space="preserve"> — Prepared and delivered a pro bono industry seminar on AI-native financial institutions and AI architecture, covering enterprise architecture implications, platform capabilities, governance and organisational changes required for AI adoption.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2025</w:t>
      </w:r>
      <w:r w:rsidDel="00000000" w:rsidR="00000000" w:rsidRPr="00000000">
        <w:rPr>
          <w:sz w:val="20"/>
          <w:szCs w:val="20"/>
          <w:rtl w:val="0"/>
        </w:rPr>
        <w:t xml:space="preserve"> — Developed a pro bono reference architecture and requirements model for an AI platform for a fintech industry association, covering platform capabilities, business services, functional and non-functional requirements, governance, security, compliance, roles and competencies for regulated banking and fintech organisations.</w:t>
      </w:r>
    </w:p>
    <w:p w:rsidR="00000000" w:rsidDel="00000000" w:rsidP="00000000" w:rsidRDefault="00000000" w:rsidRPr="00000000" w14:paraId="00000043">
      <w:pPr>
        <w:spacing w:after="0" w:before="0" w:line="240" w:lineRule="auto"/>
        <w:ind w:left="0" w:firstLine="0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ind w:lef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60" w:line="240" w:lineRule="auto"/>
              <w:jc w:val="left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rtl w:val="0"/>
              </w:rPr>
              <w:t xml:space="preserve">EDUCATION AND CERTIFICATIONS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1999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sz w:val="20"/>
          <w:szCs w:val="20"/>
          <w:rtl w:val="0"/>
        </w:rPr>
        <w:t xml:space="preserve">–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2000</w:t>
      </w:r>
      <w:r w:rsidDel="00000000" w:rsidR="00000000" w:rsidRPr="00000000">
        <w:rPr>
          <w:sz w:val="20"/>
          <w:szCs w:val="20"/>
          <w:rtl w:val="0"/>
        </w:rPr>
        <w:tab/>
        <w:t xml:space="preserve">Southern Federal University, Russia</w:t>
        <w:br w:type="textWrapping"/>
        <w:t xml:space="preserve"> </w:t>
        <w:tab/>
        <w:t xml:space="preserve">Postgraduate research in Genetic Algorithms and Evolutionary Modelling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afterAutospacing="0" w:before="0" w:line="240" w:lineRule="auto"/>
        <w:ind w:left="720" w:right="0" w:hanging="36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1994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sz w:val="20"/>
          <w:szCs w:val="20"/>
          <w:rtl w:val="0"/>
        </w:rPr>
        <w:t xml:space="preserve">–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1998</w:t>
      </w:r>
      <w:r w:rsidDel="00000000" w:rsidR="00000000" w:rsidRPr="00000000">
        <w:rPr>
          <w:sz w:val="20"/>
          <w:szCs w:val="20"/>
          <w:rtl w:val="0"/>
        </w:rPr>
        <w:tab/>
        <w:t xml:space="preserve">Southern Federal University, Russia</w:t>
        <w:br w:type="textWrapping"/>
        <w:tab/>
        <w:tab/>
        <w:t xml:space="preserve">(formerly Taganrog State Radio Engineering University)</w:t>
        <w:br w:type="textWrapping"/>
        <w:tab/>
        <w:t xml:space="preserve">Bachelor’s degree in Engineering and Technology</w:t>
        <w:br w:type="textWrapping"/>
        <w:tab/>
        <w:t xml:space="preserve">Specialist degree in Computer-Aided Design (CAD)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240" w:before="200" w:beforeAutospacing="0" w:line="240" w:lineRule="auto"/>
        <w:ind w:left="72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30+ professional certifications</w:t>
        <w:br w:type="textWrapping"/>
        <w:tab/>
        <w:t xml:space="preserve">Details available on LinkedIn  </w:t>
        <w:br w:type="textWrapping"/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https://www.linkedin.com/in/alnaz/details/certifications/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020.472440944882" w:top="708.6614173228347" w:left="1020.472440944882" w:right="1020.472440944882" w:header="720" w:footer="226.771653543307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 ExtraBold">
    <w:embedBold w:fontKey="{00000000-0000-0000-0000-000000000000}" r:id="rId1" w:subsetted="0"/>
    <w:embedBoldItalic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Roboto Condensed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Roboto Mono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10"/>
      <w:tblW w:w="986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933"/>
      <w:gridCol w:w="4933"/>
      <w:tblGridChange w:id="0">
        <w:tblGrid>
          <w:gridCol w:w="4933"/>
          <w:gridCol w:w="4933"/>
        </w:tblGrid>
      </w:tblGridChange>
    </w:tblGrid>
    <w:tr>
      <w:trPr>
        <w:cantSplit w:val="0"/>
        <w:tblHeader w:val="0"/>
      </w:trPr>
      <w:tc>
        <w:tcPr>
          <w:tcBorders>
            <w:top w:color="45818e" w:space="0" w:sz="12" w:val="single"/>
            <w:left w:color="134f5c" w:space="0" w:sz="24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192.00000000000003" w:lineRule="auto"/>
            <w:ind w:left="0" w:right="0" w:firstLine="0"/>
            <w:jc w:val="left"/>
            <w:rPr>
              <w:rFonts w:ascii="Roboto Mono" w:cs="Roboto Mono" w:eastAsia="Roboto Mono" w:hAnsi="Roboto Mono"/>
              <w:sz w:val="18"/>
              <w:szCs w:val="18"/>
            </w:rPr>
          </w:pP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  <w:rtl w:val="0"/>
            </w:rPr>
            <w:t xml:space="preserve">CV_NazarenkoAA_UK_2026</w:t>
          </w:r>
        </w:p>
      </w:tc>
      <w:tc>
        <w:tcPr>
          <w:tcBorders>
            <w:top w:color="45818e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192.00000000000003" w:lineRule="auto"/>
            <w:ind w:left="0" w:right="0" w:firstLine="0"/>
            <w:jc w:val="right"/>
            <w:rPr>
              <w:rFonts w:ascii="Roboto Mono" w:cs="Roboto Mono" w:eastAsia="Roboto Mono" w:hAnsi="Roboto Mono"/>
              <w:sz w:val="18"/>
              <w:szCs w:val="18"/>
            </w:rPr>
          </w:pP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  <w:rtl w:val="0"/>
            </w:rPr>
            <w:t xml:space="preserve">Page </w:t>
          </w: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  <w:rtl w:val="0"/>
            </w:rPr>
            <w:t xml:space="preserve"> of 2 </w:t>
          </w:r>
        </w:p>
      </w:tc>
    </w:tr>
  </w:tbl>
  <w:p w:rsidR="00000000" w:rsidDel="00000000" w:rsidP="00000000" w:rsidRDefault="00000000" w:rsidRPr="00000000" w14:paraId="0000004C">
    <w:pPr>
      <w:rPr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2"/>
      <w:tblW w:w="986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933"/>
      <w:gridCol w:w="4933"/>
      <w:tblGridChange w:id="0">
        <w:tblGrid>
          <w:gridCol w:w="4933"/>
          <w:gridCol w:w="4933"/>
        </w:tblGrid>
      </w:tblGridChange>
    </w:tblGrid>
    <w:tr>
      <w:trPr>
        <w:cantSplit w:val="0"/>
        <w:tblHeader w:val="0"/>
      </w:trPr>
      <w:tc>
        <w:tcPr>
          <w:tcBorders>
            <w:top w:color="45818e" w:space="0" w:sz="12" w:val="single"/>
            <w:left w:color="134f5c" w:space="0" w:sz="24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E">
          <w:pPr>
            <w:widowControl w:val="0"/>
            <w:spacing w:line="192.00000000000003" w:lineRule="auto"/>
            <w:jc w:val="left"/>
            <w:rPr>
              <w:rFonts w:ascii="Roboto Mono" w:cs="Roboto Mono" w:eastAsia="Roboto Mono" w:hAnsi="Roboto Mono"/>
              <w:sz w:val="18"/>
              <w:szCs w:val="18"/>
            </w:rPr>
          </w:pP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  <w:rtl w:val="0"/>
            </w:rPr>
            <w:t xml:space="preserve">CV_NazarenkoAA_UK_2026</w:t>
          </w:r>
        </w:p>
      </w:tc>
      <w:tc>
        <w:tcPr>
          <w:tcBorders>
            <w:top w:color="45818e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F">
          <w:pPr>
            <w:widowControl w:val="0"/>
            <w:spacing w:line="192.00000000000003" w:lineRule="auto"/>
            <w:jc w:val="right"/>
            <w:rPr>
              <w:rFonts w:ascii="Roboto Mono" w:cs="Roboto Mono" w:eastAsia="Roboto Mono" w:hAnsi="Roboto Mono"/>
              <w:sz w:val="18"/>
              <w:szCs w:val="18"/>
            </w:rPr>
          </w:pP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  <w:rtl w:val="0"/>
            </w:rPr>
            <w:t xml:space="preserve">Page </w:t>
          </w: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Roboto Mono" w:cs="Roboto Mono" w:eastAsia="Roboto Mono" w:hAnsi="Roboto Mono"/>
              <w:sz w:val="18"/>
              <w:szCs w:val="18"/>
              <w:rtl w:val="0"/>
            </w:rPr>
            <w:t xml:space="preserve"> of 2 </w:t>
          </w:r>
        </w:p>
      </w:tc>
    </w:tr>
  </w:tbl>
  <w:p w:rsidR="00000000" w:rsidDel="00000000" w:rsidP="00000000" w:rsidRDefault="00000000" w:rsidRPr="00000000" w14:paraId="00000060">
    <w:pPr>
      <w:rPr>
        <w:rFonts w:ascii="Roboto Mono" w:cs="Roboto Mono" w:eastAsia="Roboto Mono" w:hAnsi="Roboto Mono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spacing w:line="252.00000000000003" w:lineRule="auto"/>
      <w:rPr>
        <w:sz w:val="2"/>
        <w:szCs w:val="2"/>
      </w:rPr>
    </w:pPr>
    <w:r w:rsidDel="00000000" w:rsidR="00000000" w:rsidRPr="00000000">
      <w:rPr>
        <w:sz w:val="2"/>
        <w:szCs w:val="2"/>
        <w:rtl w:val="0"/>
      </w:rPr>
      <w:br w:type="textWrapping"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>
        <w:rFonts w:ascii="Roboto Condensed" w:cs="Roboto Condensed" w:eastAsia="Roboto Condensed" w:hAnsi="Roboto Condensed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1"/>
      <w:tblW w:w="987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0"/>
      <w:gridCol w:w="2217"/>
      <w:gridCol w:w="7203.000000000001"/>
      <w:tblGridChange w:id="0">
        <w:tblGrid>
          <w:gridCol w:w="450"/>
          <w:gridCol w:w="2217"/>
          <w:gridCol w:w="7203.000000000001"/>
        </w:tblGrid>
      </w:tblGridChange>
    </w:tblGrid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4F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76439" cy="182320"/>
                <wp:effectExtent b="0" l="0" r="0" t="0"/>
                <wp:docPr descr="email" id="4" name="image4.png"/>
                <a:graphic>
                  <a:graphicData uri="http://schemas.openxmlformats.org/drawingml/2006/picture">
                    <pic:pic>
                      <pic:nvPicPr>
                        <pic:cNvPr descr="email" id="0" name="image4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39" cy="1823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0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alexey@nazarenko.pro</w:t>
          </w:r>
        </w:p>
      </w:tc>
      <w:tc>
        <w:tcPr>
          <w:vMerge w:val="restart"/>
          <w:tcBorders>
            <w:top w:color="000000" w:space="0" w:sz="0" w:val="nil"/>
            <w:left w:color="000000" w:space="0" w:sz="0" w:val="nil"/>
            <w:bottom w:color="134f5c" w:space="0" w:sz="12" w:val="single"/>
            <w:right w:color="a2c4c9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51">
          <w:pPr>
            <w:spacing w:line="216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</w:rPr>
          </w:pPr>
          <w:r w:rsidDel="00000000" w:rsidR="00000000" w:rsidRPr="00000000"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  <w:rtl w:val="0"/>
            </w:rPr>
            <w:t xml:space="preserve">ALEXEY NAZARENKO</w:t>
          </w:r>
        </w:p>
        <w:p w:rsidR="00000000" w:rsidDel="00000000" w:rsidP="00000000" w:rsidRDefault="00000000" w:rsidRPr="00000000" w14:paraId="00000052">
          <w:pPr>
            <w:spacing w:after="0" w:before="0" w:line="216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Roboto Condensed" w:cs="Roboto Condensed" w:eastAsia="Roboto Condensed" w:hAnsi="Roboto Condensed"/>
              <w:b w:val="1"/>
              <w:bCs w:val="1"/>
              <w:sz w:val="22"/>
              <w:szCs w:val="22"/>
              <w:rtl w:val="0"/>
            </w:rPr>
            <w:t xml:space="preserve">Enterprise Architect | Banking | Architecture Governance | AI &amp; Data Platforms</w:t>
          </w:r>
        </w:p>
      </w:tc>
    </w:tr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3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83850" cy="189978"/>
                <wp:effectExtent b="0" l="0" r="0" t="0"/>
                <wp:docPr descr="Phone" id="2" name="image3.png"/>
                <a:graphic>
                  <a:graphicData uri="http://schemas.openxmlformats.org/drawingml/2006/picture">
                    <pic:pic>
                      <pic:nvPicPr>
                        <pic:cNvPr descr="Phone"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50" cy="1899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4">
          <w:pPr>
            <w:widowControl w:val="0"/>
            <w:spacing w:line="240" w:lineRule="auto"/>
            <w:jc w:val="left"/>
            <w:rPr/>
          </w:pPr>
          <w:r w:rsidDel="00000000" w:rsidR="00000000" w:rsidRPr="00000000">
            <w:rPr>
              <w:sz w:val="22"/>
              <w:szCs w:val="22"/>
              <w:rtl w:val="0"/>
            </w:rPr>
            <w:t xml:space="preserve">+44 7487 528634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  <w:left w:color="000000" w:space="0" w:sz="0" w:val="nil"/>
            <w:bottom w:color="134f5c" w:space="0" w:sz="12" w:val="single"/>
            <w:right w:color="45818e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55">
          <w:pPr>
            <w:spacing w:line="240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6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79492" cy="189464"/>
                <wp:effectExtent b="0" l="0" r="0" t="0"/>
                <wp:docPr descr="Telegram" id="1" name="image1.png"/>
                <a:graphic>
                  <a:graphicData uri="http://schemas.openxmlformats.org/drawingml/2006/picture">
                    <pic:pic>
                      <pic:nvPicPr>
                        <pic:cNvPr descr="Telegram" id="0" name="image1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92" cy="18946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7">
          <w:pPr>
            <w:widowControl w:val="0"/>
            <w:spacing w:line="240" w:lineRule="auto"/>
            <w:jc w:val="left"/>
            <w:rPr/>
          </w:pPr>
          <w:r w:rsidDel="00000000" w:rsidR="00000000" w:rsidRPr="00000000">
            <w:rPr>
              <w:sz w:val="22"/>
              <w:szCs w:val="22"/>
              <w:rtl w:val="0"/>
            </w:rPr>
            <w:t xml:space="preserve">@alnaz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  <w:left w:color="000000" w:space="0" w:sz="0" w:val="nil"/>
            <w:bottom w:color="134f5c" w:space="0" w:sz="12" w:val="single"/>
            <w:right w:color="45818e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58">
          <w:pPr>
            <w:spacing w:line="240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134f5c" w:space="0" w:sz="12" w:val="single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9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83056" cy="193226"/>
                <wp:effectExtent b="0" l="0" r="0" t="0"/>
                <wp:docPr descr="LinkedIn" id="3" name="image2.png"/>
                <a:graphic>
                  <a:graphicData uri="http://schemas.openxmlformats.org/drawingml/2006/picture">
                    <pic:pic>
                      <pic:nvPicPr>
                        <pic:cNvPr descr="LinkedIn" id="0" name="image2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056" cy="1932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134f5c" w:space="0" w:sz="12" w:val="single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5A">
          <w:pPr>
            <w:widowControl w:val="0"/>
            <w:spacing w:line="240" w:lineRule="auto"/>
            <w:jc w:val="left"/>
            <w:rPr/>
          </w:pPr>
          <w:r w:rsidDel="00000000" w:rsidR="00000000" w:rsidRPr="00000000">
            <w:rPr>
              <w:sz w:val="22"/>
              <w:szCs w:val="22"/>
              <w:rtl w:val="0"/>
            </w:rPr>
            <w:t xml:space="preserve">linkedin.com/in/alnaz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  <w:left w:color="000000" w:space="0" w:sz="0" w:val="nil"/>
            <w:bottom w:color="134f5c" w:space="0" w:sz="12" w:val="single"/>
            <w:right w:color="134f5c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5B">
          <w:pPr>
            <w:spacing w:line="240" w:lineRule="auto"/>
            <w:jc w:val="right"/>
            <w:rPr>
              <w:rFonts w:ascii="Roboto Condensed" w:cs="Roboto Condensed" w:eastAsia="Roboto Condensed" w:hAnsi="Roboto Condensed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spacing w:before="60" w:line="240" w:lineRule="auto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Roboto ExtraBold" w:cs="Roboto ExtraBold" w:eastAsia="Roboto ExtraBold" w:hAnsi="Roboto ExtraBol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Roboto ExtraBold" w:cs="Roboto ExtraBold" w:eastAsia="Roboto ExtraBold" w:hAnsi="Roboto ExtraBol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iCs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iCs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  <w:jc w:val="left"/>
    </w:pPr>
    <w:rPr>
      <w:b w:val="1"/>
      <w:bCs w:val="1"/>
      <w:i w:val="0"/>
      <w:iCs w:val="0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Mono-regular.ttf"/><Relationship Id="rId10" Type="http://schemas.openxmlformats.org/officeDocument/2006/relationships/font" Target="fonts/RobotoCondensed-boldItalic.ttf"/><Relationship Id="rId13" Type="http://schemas.openxmlformats.org/officeDocument/2006/relationships/font" Target="fonts/RobotoMono-italic.ttf"/><Relationship Id="rId12" Type="http://schemas.openxmlformats.org/officeDocument/2006/relationships/font" Target="fonts/RobotoMono-bold.ttf"/><Relationship Id="rId1" Type="http://schemas.openxmlformats.org/officeDocument/2006/relationships/font" Target="fonts/RobotoExtraBold-bold.ttf"/><Relationship Id="rId2" Type="http://schemas.openxmlformats.org/officeDocument/2006/relationships/font" Target="fonts/RobotoExtraBold-boldItalic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9" Type="http://schemas.openxmlformats.org/officeDocument/2006/relationships/font" Target="fonts/RobotoCondensed-italic.ttf"/><Relationship Id="rId14" Type="http://schemas.openxmlformats.org/officeDocument/2006/relationships/font" Target="fonts/RobotoMono-boldItalic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RobotoCondensed-regular.ttf"/><Relationship Id="rId8" Type="http://schemas.openxmlformats.org/officeDocument/2006/relationships/font" Target="fonts/RobotoCondensed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