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0" w:before="0" w:line="264" w:lineRule="auto"/>
        <w:rPr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64" w:lineRule="auto"/>
        <w:rPr>
          <w:rFonts w:ascii="Roboto Condensed" w:cs="Roboto Condensed" w:eastAsia="Roboto Condensed" w:hAnsi="Roboto Condensed"/>
          <w:sz w:val="2"/>
          <w:szCs w:val="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Корпоративный архитектор с опытом развития и трансформации бизнес-критичной архитектуры в крупном универсальном банке, госсекторе и ТЭК. Профиль — архитектура доменов и платформ, целевая архитектура и архитектурное управление в сложных ландшафтах с высокими требованиями к масштабу, надежности и управляемости изменений. Практика охватывает как формирование архитектурного видения и стандартов, так и сопровождение трансформации крупных прикладных контуров и контуров работы с данными и искусственным интеллектом до их приземления в проектную реализацию, а также архитектуру конкретных решений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60" w:line="240" w:lineRule="auto"/>
        <w:jc w:val="left"/>
        <w:rPr>
          <w:rFonts w:ascii="Roboto Condensed" w:cs="Roboto Condensed" w:eastAsia="Roboto Condensed" w:hAnsi="Roboto Condensed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rtl w:val="0"/>
              </w:rPr>
              <w:t xml:space="preserve">ОСНОВНЫЕ КОМПЕТЕНЦИИ</w:t>
            </w:r>
          </w:p>
        </w:tc>
      </w:tr>
    </w:tbl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Архитектурные практики:</w:t>
      </w:r>
      <w:r w:rsidDel="00000000" w:rsidR="00000000" w:rsidRPr="00000000">
        <w:rPr>
          <w:sz w:val="20"/>
          <w:szCs w:val="20"/>
          <w:rtl w:val="0"/>
        </w:rPr>
        <w:t xml:space="preserve"> корпоративная архитектура, архитектурная стратегия, целевая архитектура, архитектура доменов и платформ, архитектурное управление.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Архитектурное управление и методология</w:t>
      </w:r>
      <w:r w:rsidDel="00000000" w:rsidR="00000000" w:rsidRPr="00000000">
        <w:rPr>
          <w:sz w:val="20"/>
          <w:szCs w:val="20"/>
          <w:rtl w:val="0"/>
        </w:rPr>
        <w:t xml:space="preserve">: архитектурные стандарты и паттерны, ADR / EADR, архитектурная экспертиза и ревью, управление техническим долгом, архитектурный репозиторий, TOGAF, сервисная модель, BIAN, CMMI.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Данные и AI</w:t>
      </w:r>
      <w:r w:rsidDel="00000000" w:rsidR="00000000" w:rsidRPr="00000000">
        <w:rPr>
          <w:sz w:val="20"/>
          <w:szCs w:val="20"/>
          <w:rtl w:val="0"/>
        </w:rPr>
        <w:t xml:space="preserve">: Data Architecture, BI / DWH / Data Lake / Lakehouse, MDM, Data Governance, ML / MLOps, GenAI / LLM / RAG/ MCP/ AI governance / model risk.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Архитектура решений</w:t>
      </w:r>
      <w:r w:rsidDel="00000000" w:rsidR="00000000" w:rsidRPr="00000000">
        <w:rPr>
          <w:sz w:val="20"/>
          <w:szCs w:val="20"/>
          <w:rtl w:val="0"/>
        </w:rPr>
        <w:t xml:space="preserve">: распределенные и высоконагруженные системы, микросервисная и сервисно-ориентированная архитектура, contract first, интеграционная архитектура, CRM и платформы персонализации.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Бизнес-контуры</w:t>
      </w:r>
      <w:r w:rsidDel="00000000" w:rsidR="00000000" w:rsidRPr="00000000">
        <w:rPr>
          <w:sz w:val="20"/>
          <w:szCs w:val="20"/>
          <w:rtl w:val="0"/>
        </w:rPr>
        <w:t xml:space="preserve">: розничное кредитование, управление рисками, продажи и персонализация, корпоративные финансы, цифровые государственные платформы, промышленная цифровизация.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64" w:lineRule="auto"/>
        <w:ind w:left="720" w:firstLine="0"/>
        <w:rPr>
          <w:rFonts w:ascii="Roboto Condensed" w:cs="Roboto Condensed" w:eastAsia="Roboto Condensed" w:hAnsi="Roboto Condensed"/>
          <w:b w:val="1"/>
          <w:bCs w:val="1"/>
          <w:sz w:val="2"/>
          <w:szCs w:val="2"/>
          <w:shd w:fill="cfe2f3" w:val="clear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before="60" w:line="240" w:lineRule="auto"/>
              <w:jc w:val="left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rtl w:val="0"/>
              </w:rPr>
              <w:t xml:space="preserve">ОПЫТ РАБОТЫ</w:t>
            </w:r>
          </w:p>
        </w:tc>
      </w:tr>
    </w:tbl>
    <w:p w:rsidR="00000000" w:rsidDel="00000000" w:rsidP="00000000" w:rsidRDefault="00000000" w:rsidRPr="00000000" w14:paraId="0000000D">
      <w:pPr>
        <w:spacing w:after="0" w:before="0" w:line="240" w:lineRule="auto"/>
        <w:jc w:val="left"/>
        <w:rPr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2"/>
          <w:szCs w:val="22"/>
          <w:rtl w:val="0"/>
        </w:rPr>
        <w:t xml:space="preserve"> 2021- н.в.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ab/>
        <w:t xml:space="preserve">АЛЬФА-БАНК 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ab/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Корпоративный архитектор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Архитектурное развитие платформы данных Банка (Ingestion / BI / DWH / Data Lake / Lakehouse / Hot Cache / Semantic layer / дистрибуция данных), платформы MDM (клиентский, продуктовый, универсальный), платформы ML (обучение, тестирование, инференс, MLOps, ML-модельный риск), платформы генеративного ИИ (инференс LLM, агенты, RAG, MCP, генеративный модельный риск), платформы CRM (проведение кампаний, онлайн и офлайн генерация и дистрибуция продуктовых предложений в каналы продаж).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Развитие направлений розничного кредитования, управления рисками, управления продажами и персонализации (CRM), корпоративных финансов — подготовлены стратегии, валидируются архитектурные изменения, оценена зрелость способностей и сервисов доменов.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концепции AI-Native трансформации Банка, подходов к ее измеримости и управляемости, концепции Data Governance by Design, позволяющий оценить влияние изменений системы на ландшафт Банка на стадии проектирования до ввода в эксплуатацию.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sz w:val="20"/>
          <w:szCs w:val="20"/>
          <w:rtl w:val="0"/>
        </w:rPr>
        <w:t xml:space="preserve">Доменная декомпозиция ландшафта Банка и перехода к описанию сервисной модели доменов с привязкой к BIAN как основы для архитектурного управления, и развития практики оценки зрелости способностей доменов на основе CMMI.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архитектурных стандартов: Data Governance by Design, шардирование и распределенное хранение данных в системах Банка, архитектурной стратегии и защиты решений др.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корпоративных EADR: разделение зон ответственности при инференсе ML/LLM, получение данных отправка сообщений в БКИ и более 10 других.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архитектуры продающей системы розничного кредитования (генерация и AI-оценка продуктовых оферов, их дистрибуция) и системы горячего кэширования данных, базирующаяся на in-memory колоночном хранилище.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Архитектурное сопровождение аудитов и внешних консалтинговых проектов в Банке.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Валидация архитектурных решений банка (~10-12 ежедневно) на соответствие стратегии Банка, стратегиям доменов, решениям архитектурной комиссии, паттернам и ADR и др.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Управление техническим долгом команд развития Банка в части временных решений и доработок целевых решений.</w:t>
      </w:r>
    </w:p>
    <w:p w:rsidR="00000000" w:rsidDel="00000000" w:rsidP="00000000" w:rsidRDefault="00000000" w:rsidRPr="00000000" w14:paraId="00000018">
      <w:pPr>
        <w:spacing w:after="0" w:before="200" w:line="240" w:lineRule="auto"/>
        <w:jc w:val="left"/>
        <w:rPr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2"/>
          <w:szCs w:val="22"/>
          <w:rtl w:val="0"/>
        </w:rPr>
        <w:t xml:space="preserve">2020-2021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  <w:tab/>
        <w:t xml:space="preserve">РТ-Лабс </w:t>
      </w:r>
      <w:r w:rsidDel="00000000" w:rsidR="00000000" w:rsidRPr="00000000">
        <w:rPr>
          <w:b w:val="1"/>
          <w:bCs w:val="1"/>
          <w:sz w:val="14"/>
          <w:szCs w:val="14"/>
          <w:rtl w:val="0"/>
        </w:rPr>
        <w:tab/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Главный архитектор ГАС “Выборы”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концептуальной архитектуры ГАС выборы и ее защита на технологическом комитете ЦИК.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архитектурной трансформации платформы из композитного монолита (первое поколение) в микросервисную /сервисно-ориентированную.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Определение контрактование взаимодействий между модулями платформы по принципу “contract first”.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архитектуры модуля ДЭГ (дистанционное электронное голосование). HL/HA доступность до 70 млн пользователей личного кабинета одномоментно, архитектурный надзор реализации. 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Организация работы команды архитекторов платформы (8 чел).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Организация и управление архитектурным репозиторием платформы, организация архитектурного процесса и имплементация его в производственный процесс разработки ПО платформы.</w:t>
      </w:r>
    </w:p>
    <w:p w:rsidR="00000000" w:rsidDel="00000000" w:rsidP="00000000" w:rsidRDefault="00000000" w:rsidRPr="00000000" w14:paraId="0000001F">
      <w:pPr>
        <w:spacing w:after="0" w:before="200" w:line="240" w:lineRule="auto"/>
        <w:jc w:val="left"/>
        <w:rPr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2"/>
          <w:szCs w:val="22"/>
          <w:rtl w:val="0"/>
        </w:rPr>
        <w:t xml:space="preserve">2018-2020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  <w:tab/>
        <w:t xml:space="preserve">Ай-Теко</w:t>
        <w:tab/>
        <w:tab/>
        <w:t xml:space="preserve">Главный архитектор платформы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и защита архитектуры платформы “Цифровое бурение” по автоматизации процессов проектирования скважин, буровых работ и сдачи в эксплуатацию (гетерогенная SOA/MSA ), включающей механизмы ML и цифровых двойников. 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Формулирование гипотез пилотирования платформы и проведение успешного пилота.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Архитектурный контроль согласованных решений в производственном процессе.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референсной модели архитектуры добывающей компании (совместно со специалистами Роснефть, Halliburton, Schlumberger).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Руководство управлением архитектуры и аналитики энергетического сектора со стороны подрядчика (&gt;30 чел).</w:t>
      </w:r>
    </w:p>
    <w:p w:rsidR="00000000" w:rsidDel="00000000" w:rsidP="00000000" w:rsidRDefault="00000000" w:rsidRPr="00000000" w14:paraId="00000025">
      <w:pPr>
        <w:spacing w:after="0" w:before="200" w:line="240" w:lineRule="auto"/>
        <w:jc w:val="left"/>
        <w:rPr>
          <w:b w:val="1"/>
          <w:bCs w:val="1"/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2"/>
          <w:szCs w:val="22"/>
          <w:rtl w:val="0"/>
        </w:rPr>
        <w:t xml:space="preserve">2017-2018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  <w:tab/>
        <w:t xml:space="preserve">ПАО Сбербанк </w:t>
        <w:tab/>
        <w:t xml:space="preserve">Корпоративный архитектор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и защита поквартальной архитектуры стрима “Валютный контроль” трайба ВЭД.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Автоматизация интеллектуального распознавания и структурирования контрактов ВЭД;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Роботизация процесса обработки валютных контрактов для их применимости в задачах валютного контроля.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200" w:line="240" w:lineRule="auto"/>
        <w:jc w:val="left"/>
        <w:rPr>
          <w:sz w:val="22"/>
          <w:szCs w:val="22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2"/>
          <w:szCs w:val="22"/>
          <w:rtl w:val="0"/>
        </w:rPr>
        <w:t xml:space="preserve">2016-2017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 </w:t>
        <w:tab/>
        <w:t xml:space="preserve">IBS </w:t>
        <w:tab/>
        <w:tab/>
        <w:tab/>
        <w:t xml:space="preserve">Главный архитектор проекта</w:t>
      </w:r>
      <w:r w:rsidDel="00000000" w:rsidR="00000000" w:rsidRPr="00000000">
        <w:rPr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Разработка и защита у заказчика — Минприроды концептуальной архитектуры информационной системы лесопожарного мониторинга заповедников федерального значения.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spacing w:after="0" w:before="0" w:line="240" w:lineRule="auto"/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Проработка защита системной архитектуры решения, архитектурный контроль реализации в подрядных организациях.</w:t>
      </w:r>
    </w:p>
    <w:p w:rsidR="00000000" w:rsidDel="00000000" w:rsidP="00000000" w:rsidRDefault="00000000" w:rsidRPr="00000000" w14:paraId="0000002C">
      <w:pPr>
        <w:spacing w:after="0" w:before="0" w:line="240" w:lineRule="auto"/>
        <w:ind w:left="720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before="60" w:line="240" w:lineRule="auto"/>
              <w:jc w:val="left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rtl w:val="0"/>
              </w:rPr>
              <w:t xml:space="preserve">ОБРАЗОВАНИЕ И СЕРТИФИКАТЫ</w:t>
            </w:r>
          </w:p>
        </w:tc>
      </w:tr>
    </w:tbl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40"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0"/>
          <w:szCs w:val="20"/>
          <w:rtl w:val="0"/>
        </w:rPr>
        <w:t xml:space="preserve">1999 — 2000</w:t>
      </w:r>
      <w:r w:rsidDel="00000000" w:rsidR="00000000" w:rsidRPr="00000000">
        <w:rPr>
          <w:sz w:val="20"/>
          <w:szCs w:val="20"/>
          <w:rtl w:val="0"/>
        </w:rPr>
        <w:t xml:space="preserve"> Южный федеральный университет, аспирантура по направлению </w:t>
        <w:br w:type="textWrapping"/>
        <w:t xml:space="preserve">Генетические алгоритмы и эволюционное моделирование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rFonts w:ascii="Roboto Mono" w:cs="Roboto Mono" w:eastAsia="Roboto Mono" w:hAnsi="Roboto Mono"/>
          <w:b w:val="1"/>
          <w:bCs w:val="1"/>
          <w:sz w:val="20"/>
          <w:szCs w:val="20"/>
          <w:rtl w:val="0"/>
        </w:rPr>
        <w:t xml:space="preserve">1994 — 1998</w:t>
      </w:r>
      <w:r w:rsidDel="00000000" w:rsidR="00000000" w:rsidRPr="00000000">
        <w:rPr>
          <w:sz w:val="20"/>
          <w:szCs w:val="20"/>
          <w:rtl w:val="0"/>
        </w:rPr>
        <w:t xml:space="preserve"> Южный федеральный университет </w:t>
        <w:br w:type="textWrapping"/>
        <w:t xml:space="preserve">(ранее — Таганрогский государственный радиотехнический университет им. В.Д.Калмыкова)</w:t>
        <w:br w:type="textWrapping"/>
      </w:r>
      <w:r w:rsidDel="00000000" w:rsidR="00000000" w:rsidRPr="00000000">
        <w:rPr>
          <w:sz w:val="14"/>
          <w:szCs w:val="14"/>
          <w:rtl w:val="0"/>
        </w:rPr>
        <w:t xml:space="preserve">•</w:t>
      </w:r>
      <w:r w:rsidDel="00000000" w:rsidR="00000000" w:rsidRPr="00000000">
        <w:rPr>
          <w:sz w:val="20"/>
          <w:szCs w:val="20"/>
          <w:rtl w:val="0"/>
        </w:rPr>
        <w:t xml:space="preserve"> Бакалавр техники и технологий;</w:t>
        <w:br w:type="textWrapping"/>
      </w:r>
      <w:r w:rsidDel="00000000" w:rsidR="00000000" w:rsidRPr="00000000">
        <w:rPr>
          <w:sz w:val="14"/>
          <w:szCs w:val="14"/>
          <w:rtl w:val="0"/>
        </w:rPr>
        <w:t xml:space="preserve">•</w:t>
      </w:r>
      <w:r w:rsidDel="00000000" w:rsidR="00000000" w:rsidRPr="00000000">
        <w:rPr>
          <w:sz w:val="20"/>
          <w:szCs w:val="20"/>
          <w:rtl w:val="0"/>
        </w:rPr>
        <w:t xml:space="preserve"> Специалист по системам автоматизированного проектирования (САПР).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beforeAutospacing="0" w:line="240" w:lineRule="auto"/>
        <w:ind w:left="720" w:right="0" w:hanging="360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&gt; 30 сертификатов, подробнее на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https://www.linkedin.com/in/alnaz/details/certifications/</w:t>
      </w:r>
    </w:p>
    <w:tbl>
      <w:tblPr>
        <w:tblStyle w:val="Table4"/>
        <w:tblW w:w="986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66"/>
        <w:tblGridChange w:id="0">
          <w:tblGrid>
            <w:gridCol w:w="986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5818e" w:space="0" w:sz="12" w:val="single"/>
              <w:left w:color="45818e" w:space="0" w:sz="18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before="60" w:line="240" w:lineRule="auto"/>
              <w:jc w:val="left"/>
              <w:rPr>
                <w:rFonts w:ascii="Roboto Condensed" w:cs="Roboto Condensed" w:eastAsia="Roboto Condensed" w:hAnsi="Roboto Condensed"/>
                <w:b w:val="1"/>
                <w:bCs w:val="1"/>
              </w:rPr>
            </w:pPr>
            <w:r w:rsidDel="00000000" w:rsidR="00000000" w:rsidRPr="00000000">
              <w:rPr>
                <w:rFonts w:ascii="Roboto Condensed" w:cs="Roboto Condensed" w:eastAsia="Roboto Condensed" w:hAnsi="Roboto Condensed"/>
                <w:b w:val="1"/>
                <w:bCs w:val="1"/>
                <w:rtl w:val="0"/>
              </w:rPr>
              <w:t xml:space="preserve">ДОПОЛНИТЕЛЬНАЯ ИНФОРМАЦИЯ</w:t>
            </w:r>
          </w:p>
        </w:tc>
      </w:tr>
    </w:tbl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240" w:before="240" w:lin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Владение языками: </w:t>
        <w:br w:type="textWrapping"/>
      </w:r>
      <w:r w:rsidDel="00000000" w:rsidR="00000000" w:rsidRPr="00000000">
        <w:rPr>
          <w:sz w:val="14"/>
          <w:szCs w:val="14"/>
          <w:rtl w:val="0"/>
        </w:rPr>
        <w:t xml:space="preserve">•</w:t>
      </w:r>
      <w:r w:rsidDel="00000000" w:rsidR="00000000" w:rsidRPr="00000000">
        <w:rPr>
          <w:sz w:val="20"/>
          <w:szCs w:val="20"/>
          <w:rtl w:val="0"/>
        </w:rPr>
        <w:t xml:space="preserve"> Русский — носитель, </w:t>
        <w:br w:type="textWrapping"/>
      </w:r>
      <w:r w:rsidDel="00000000" w:rsidR="00000000" w:rsidRPr="00000000">
        <w:rPr>
          <w:sz w:val="14"/>
          <w:szCs w:val="14"/>
          <w:rtl w:val="0"/>
        </w:rPr>
        <w:t xml:space="preserve">•</w:t>
      </w:r>
      <w:r w:rsidDel="00000000" w:rsidR="00000000" w:rsidRPr="00000000">
        <w:rPr>
          <w:sz w:val="20"/>
          <w:szCs w:val="20"/>
          <w:rtl w:val="0"/>
        </w:rPr>
        <w:t xml:space="preserve"> Английский — профессиональное владение.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020.472440944882" w:top="708.6614173228347" w:left="1020.472440944882" w:right="1020.472440944882" w:header="720" w:footer="283.464566929133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 ExtraBold">
    <w:embedBold w:fontKey="{00000000-0000-0000-0000-000000000000}" r:id="rId1" w:subsetted="0"/>
    <w:embedBoldItalic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Roboto Condensed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Roboto Mono">
    <w:embedRegular w:fontKey="{00000000-0000-0000-0000-000000000000}" r:id="rId11" w:subsetted="0"/>
    <w:embedBold w:fontKey="{00000000-0000-0000-0000-000000000000}" r:id="rId12" w:subsetted="0"/>
    <w:embedItalic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rPr>
        <w:sz w:val="14"/>
        <w:szCs w:val="14"/>
      </w:rPr>
    </w:pPr>
    <w:r w:rsidDel="00000000" w:rsidR="00000000" w:rsidRPr="00000000">
      <w:rPr>
        <w:rtl w:val="0"/>
      </w:rPr>
    </w:r>
  </w:p>
  <w:tbl>
    <w:tblPr>
      <w:tblStyle w:val="Table5"/>
      <w:tblW w:w="986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933"/>
      <w:gridCol w:w="4933"/>
      <w:tblGridChange w:id="0">
        <w:tblGrid>
          <w:gridCol w:w="4933"/>
          <w:gridCol w:w="4933"/>
        </w:tblGrid>
      </w:tblGridChange>
    </w:tblGrid>
    <w:tr>
      <w:trPr>
        <w:cantSplit w:val="0"/>
        <w:tblHeader w:val="0"/>
      </w:trPr>
      <w:tc>
        <w:tcPr>
          <w:tcBorders>
            <w:top w:color="45818e" w:space="0" w:sz="12" w:val="single"/>
            <w:left w:color="134f5c" w:space="0" w:sz="24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192.00000000000003" w:lineRule="auto"/>
            <w:ind w:left="0" w:right="0" w:firstLine="0"/>
            <w:jc w:val="left"/>
            <w:rPr>
              <w:i w:val="1"/>
              <w:iCs w:val="1"/>
              <w:sz w:val="18"/>
              <w:szCs w:val="18"/>
            </w:rPr>
          </w:pPr>
          <w:r w:rsidDel="00000000" w:rsidR="00000000" w:rsidRPr="00000000">
            <w:rPr>
              <w:i w:val="1"/>
              <w:iCs w:val="1"/>
              <w:sz w:val="18"/>
              <w:szCs w:val="18"/>
              <w:rtl w:val="0"/>
            </w:rPr>
            <w:t xml:space="preserve">CV_NazarenkoAA_RUS_2026</w:t>
          </w:r>
        </w:p>
      </w:tc>
      <w:tc>
        <w:tcPr>
          <w:tcBorders>
            <w:top w:color="45818e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3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192.00000000000003" w:lineRule="auto"/>
            <w:ind w:left="0" w:right="0" w:firstLine="0"/>
            <w:jc w:val="right"/>
            <w:rPr>
              <w:i w:val="1"/>
              <w:iCs w:val="1"/>
              <w:sz w:val="18"/>
              <w:szCs w:val="18"/>
            </w:rPr>
          </w:pPr>
          <w:r w:rsidDel="00000000" w:rsidR="00000000" w:rsidRPr="00000000">
            <w:rPr>
              <w:i w:val="1"/>
              <w:iCs w:val="1"/>
              <w:sz w:val="18"/>
              <w:szCs w:val="18"/>
              <w:rtl w:val="0"/>
            </w:rPr>
            <w:t xml:space="preserve">стр. </w:t>
          </w:r>
          <w:r w:rsidDel="00000000" w:rsidR="00000000" w:rsidRPr="00000000">
            <w:rPr>
              <w:i w:val="1"/>
              <w:iCs w:val="1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i w:val="1"/>
              <w:iCs w:val="1"/>
              <w:sz w:val="18"/>
              <w:szCs w:val="18"/>
              <w:rtl w:val="0"/>
            </w:rPr>
            <w:t xml:space="preserve">/2 </w:t>
          </w:r>
        </w:p>
      </w:tc>
    </w:tr>
  </w:tbl>
  <w:p w:rsidR="00000000" w:rsidDel="00000000" w:rsidP="00000000" w:rsidRDefault="00000000" w:rsidRPr="00000000" w14:paraId="00000036">
    <w:pPr>
      <w:rPr>
        <w:sz w:val="2"/>
        <w:szCs w:val="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>
        <w:sz w:val="6"/>
        <w:szCs w:val="6"/>
      </w:rPr>
    </w:pPr>
    <w:r w:rsidDel="00000000" w:rsidR="00000000" w:rsidRPr="00000000">
      <w:rPr>
        <w:rtl w:val="0"/>
      </w:rPr>
    </w:r>
  </w:p>
  <w:tbl>
    <w:tblPr>
      <w:tblStyle w:val="Table7"/>
      <w:tblW w:w="986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933"/>
      <w:gridCol w:w="4933"/>
      <w:tblGridChange w:id="0">
        <w:tblGrid>
          <w:gridCol w:w="4933"/>
          <w:gridCol w:w="4933"/>
        </w:tblGrid>
      </w:tblGridChange>
    </w:tblGrid>
    <w:tr>
      <w:trPr>
        <w:cantSplit w:val="0"/>
        <w:tblHeader w:val="0"/>
      </w:trPr>
      <w:tc>
        <w:tcPr>
          <w:tcBorders>
            <w:top w:color="45818e" w:space="0" w:sz="12" w:val="single"/>
            <w:left w:color="134f5c" w:space="0" w:sz="24" w:val="single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8">
          <w:pPr>
            <w:widowControl w:val="0"/>
            <w:spacing w:line="192.00000000000003" w:lineRule="auto"/>
            <w:jc w:val="left"/>
            <w:rPr>
              <w:i w:val="1"/>
              <w:iCs w:val="1"/>
              <w:sz w:val="18"/>
              <w:szCs w:val="18"/>
            </w:rPr>
          </w:pPr>
          <w:r w:rsidDel="00000000" w:rsidR="00000000" w:rsidRPr="00000000">
            <w:rPr>
              <w:i w:val="1"/>
              <w:iCs w:val="1"/>
              <w:sz w:val="18"/>
              <w:szCs w:val="18"/>
              <w:rtl w:val="0"/>
            </w:rPr>
            <w:t xml:space="preserve">CV_NazarenkoAA_RUS_2026</w:t>
          </w:r>
        </w:p>
      </w:tc>
      <w:tc>
        <w:tcPr>
          <w:tcBorders>
            <w:top w:color="45818e" w:space="0" w:sz="12" w:val="single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49">
          <w:pPr>
            <w:widowControl w:val="0"/>
            <w:spacing w:line="192.00000000000003" w:lineRule="auto"/>
            <w:jc w:val="right"/>
            <w:rPr>
              <w:i w:val="1"/>
              <w:iCs w:val="1"/>
              <w:sz w:val="18"/>
              <w:szCs w:val="18"/>
            </w:rPr>
          </w:pPr>
          <w:r w:rsidDel="00000000" w:rsidR="00000000" w:rsidRPr="00000000">
            <w:rPr>
              <w:i w:val="1"/>
              <w:iCs w:val="1"/>
              <w:sz w:val="18"/>
              <w:szCs w:val="18"/>
              <w:rtl w:val="0"/>
            </w:rPr>
            <w:t xml:space="preserve">cтр. </w:t>
          </w:r>
          <w:r w:rsidDel="00000000" w:rsidR="00000000" w:rsidRPr="00000000">
            <w:rPr>
              <w:i w:val="1"/>
              <w:iCs w:val="1"/>
              <w:sz w:val="18"/>
              <w:szCs w:val="18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i w:val="1"/>
              <w:iCs w:val="1"/>
              <w:sz w:val="18"/>
              <w:szCs w:val="18"/>
              <w:rtl w:val="0"/>
            </w:rPr>
            <w:t xml:space="preserve">/2 </w:t>
          </w:r>
        </w:p>
      </w:tc>
    </w:tr>
  </w:tbl>
  <w:p w:rsidR="00000000" w:rsidDel="00000000" w:rsidP="00000000" w:rsidRDefault="00000000" w:rsidRPr="00000000" w14:paraId="0000004A">
    <w:pPr>
      <w:rPr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spacing w:before="60" w:line="240" w:lineRule="auto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rPr>
        <w:rFonts w:ascii="Roboto Condensed" w:cs="Roboto Condensed" w:eastAsia="Roboto Condensed" w:hAnsi="Roboto Condensed"/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6"/>
      <w:tblW w:w="9870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0"/>
      <w:gridCol w:w="3000"/>
      <w:gridCol w:w="6420"/>
      <w:tblGridChange w:id="0">
        <w:tblGrid>
          <w:gridCol w:w="450"/>
          <w:gridCol w:w="3000"/>
          <w:gridCol w:w="6420"/>
        </w:tblGrid>
      </w:tblGridChange>
    </w:tblGrid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39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76439" cy="182320"/>
                <wp:effectExtent b="0" l="0" r="0" t="0"/>
                <wp:docPr id="4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39" cy="18232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3A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  <w:rtl w:val="0"/>
            </w:rPr>
            <w:t xml:space="preserve">alexey@nazarenko.pro</w:t>
          </w:r>
        </w:p>
      </w:tc>
      <w:tc>
        <w:tcPr>
          <w:vMerge w:val="restart"/>
          <w:tcBorders>
            <w:top w:color="000000" w:space="0" w:sz="0" w:val="nil"/>
            <w:left w:color="000000" w:space="0" w:sz="0" w:val="nil"/>
            <w:bottom w:color="134f5c" w:space="0" w:sz="12" w:val="single"/>
            <w:right w:color="a2c4c9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3B">
          <w:pPr>
            <w:spacing w:line="216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</w:rPr>
          </w:pPr>
          <w:r w:rsidDel="00000000" w:rsidR="00000000" w:rsidRPr="00000000"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  <w:rtl w:val="0"/>
            </w:rPr>
            <w:t xml:space="preserve">АЛЕКСЕЙ НАЗАРЕНКО</w:t>
          </w:r>
        </w:p>
        <w:p w:rsidR="00000000" w:rsidDel="00000000" w:rsidP="00000000" w:rsidRDefault="00000000" w:rsidRPr="00000000" w14:paraId="0000003C">
          <w:pPr>
            <w:spacing w:line="216" w:lineRule="auto"/>
            <w:jc w:val="right"/>
            <w:rPr>
              <w:rFonts w:ascii="Roboto Condensed" w:cs="Roboto Condensed" w:eastAsia="Roboto Condensed" w:hAnsi="Roboto Condensed"/>
              <w:sz w:val="28"/>
              <w:szCs w:val="28"/>
            </w:rPr>
          </w:pPr>
          <w:r w:rsidDel="00000000" w:rsidR="00000000" w:rsidRPr="00000000">
            <w:rPr>
              <w:rFonts w:ascii="Roboto Condensed" w:cs="Roboto Condensed" w:eastAsia="Roboto Condensed" w:hAnsi="Roboto Condensed"/>
              <w:sz w:val="28"/>
              <w:szCs w:val="28"/>
              <w:rtl w:val="0"/>
            </w:rPr>
            <w:t xml:space="preserve">КОРПОРАТИВНЫЙ АРХИТЕКТОР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3D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83850" cy="189978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850" cy="18997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3E">
          <w:pPr>
            <w:widowControl w:val="0"/>
            <w:spacing w:line="240" w:lineRule="auto"/>
            <w:jc w:val="left"/>
            <w:rPr/>
          </w:pPr>
          <w:r w:rsidDel="00000000" w:rsidR="00000000" w:rsidRPr="00000000">
            <w:rPr>
              <w:sz w:val="22"/>
              <w:szCs w:val="22"/>
              <w:rtl w:val="0"/>
            </w:rPr>
            <w:t xml:space="preserve">+7 906 77 34 000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  <w:left w:color="000000" w:space="0" w:sz="0" w:val="nil"/>
            <w:bottom w:color="134f5c" w:space="0" w:sz="12" w:val="single"/>
            <w:right w:color="45818e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3F">
          <w:pPr>
            <w:spacing w:line="240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40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79492" cy="189464"/>
                <wp:effectExtent b="0" l="0" r="0" t="0"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92" cy="189464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41">
          <w:pPr>
            <w:widowControl w:val="0"/>
            <w:spacing w:line="240" w:lineRule="auto"/>
            <w:jc w:val="left"/>
            <w:rPr/>
          </w:pPr>
          <w:r w:rsidDel="00000000" w:rsidR="00000000" w:rsidRPr="00000000">
            <w:rPr>
              <w:sz w:val="22"/>
              <w:szCs w:val="22"/>
              <w:rtl w:val="0"/>
            </w:rPr>
            <w:t xml:space="preserve">@alnaz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  <w:left w:color="000000" w:space="0" w:sz="0" w:val="nil"/>
            <w:bottom w:color="134f5c" w:space="0" w:sz="12" w:val="single"/>
            <w:right w:color="45818e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42">
          <w:pPr>
            <w:spacing w:line="240" w:lineRule="auto"/>
            <w:jc w:val="right"/>
            <w:rPr>
              <w:rFonts w:ascii="Roboto Condensed" w:cs="Roboto Condensed" w:eastAsia="Roboto Condensed" w:hAnsi="Roboto Condensed"/>
              <w:b w:val="1"/>
              <w:bCs w:val="1"/>
              <w:sz w:val="36"/>
              <w:szCs w:val="36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26.771653543307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134f5c" w:space="0" w:sz="12" w:val="single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43">
          <w:pPr>
            <w:widowControl w:val="0"/>
            <w:spacing w:line="240" w:lineRule="auto"/>
            <w:jc w:val="left"/>
            <w:rPr>
              <w:sz w:val="22"/>
              <w:szCs w:val="22"/>
            </w:rPr>
          </w:pPr>
          <w:r w:rsidDel="00000000" w:rsidR="00000000" w:rsidRPr="00000000">
            <w:rPr>
              <w:sz w:val="22"/>
              <w:szCs w:val="22"/>
            </w:rPr>
            <w:drawing>
              <wp:inline distB="114300" distT="114300" distL="114300" distR="114300">
                <wp:extent cx="183056" cy="193226"/>
                <wp:effectExtent b="0" l="0" r="0" t="0"/>
                <wp:docPr id="3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056" cy="19322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134f5c" w:space="0" w:sz="12" w:val="single"/>
            <w:right w:color="000000" w:space="0" w:sz="0" w:val="nil"/>
          </w:tcBorders>
          <w:shd w:fill="auto" w:val="clear"/>
          <w:tcMar>
            <w:top w:w="-113.38582677165356" w:type="dxa"/>
            <w:left w:w="-113.38582677165356" w:type="dxa"/>
            <w:bottom w:w="-113.38582677165356" w:type="dxa"/>
            <w:right w:w="-113.38582677165356" w:type="dxa"/>
          </w:tcMar>
          <w:vAlign w:val="center"/>
        </w:tcPr>
        <w:p w:rsidR="00000000" w:rsidDel="00000000" w:rsidP="00000000" w:rsidRDefault="00000000" w:rsidRPr="00000000" w14:paraId="00000044">
          <w:pPr>
            <w:widowControl w:val="0"/>
            <w:spacing w:line="240" w:lineRule="auto"/>
            <w:jc w:val="left"/>
            <w:rPr/>
          </w:pPr>
          <w:r w:rsidDel="00000000" w:rsidR="00000000" w:rsidRPr="00000000">
            <w:rPr>
              <w:sz w:val="22"/>
              <w:szCs w:val="22"/>
              <w:rtl w:val="0"/>
            </w:rPr>
            <w:t xml:space="preserve">linkedin.com/in/alnaz</w:t>
          </w: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0" w:val="nil"/>
            <w:left w:color="000000" w:space="0" w:sz="0" w:val="nil"/>
            <w:bottom w:color="134f5c" w:space="0" w:sz="12" w:val="single"/>
            <w:right w:color="134f5c" w:space="0" w:sz="36" w:val="single"/>
          </w:tcBorders>
          <w:shd w:fill="auto" w:val="clear"/>
          <w:tcMar>
            <w:top w:w="170.07874015748033" w:type="dxa"/>
            <w:left w:w="170.07874015748033" w:type="dxa"/>
            <w:bottom w:w="170.07874015748033" w:type="dxa"/>
            <w:right w:w="170.07874015748033" w:type="dxa"/>
          </w:tcMar>
          <w:vAlign w:val="center"/>
        </w:tcPr>
        <w:p w:rsidR="00000000" w:rsidDel="00000000" w:rsidP="00000000" w:rsidRDefault="00000000" w:rsidRPr="00000000" w14:paraId="00000045">
          <w:pPr>
            <w:spacing w:line="240" w:lineRule="auto"/>
            <w:jc w:val="right"/>
            <w:rPr>
              <w:rFonts w:ascii="Roboto Condensed" w:cs="Roboto Condensed" w:eastAsia="Roboto Condensed" w:hAnsi="Roboto Condensed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6">
    <w:pPr>
      <w:spacing w:before="60" w:line="240" w:lineRule="auto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_GB"/>
      </w:rPr>
    </w:rPrDefault>
    <w:pPrDefault>
      <w:pPr>
        <w:spacing w:line="276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Roboto ExtraBold" w:cs="Roboto ExtraBold" w:eastAsia="Roboto ExtraBold" w:hAnsi="Roboto ExtraBold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Roboto ExtraBold" w:cs="Roboto ExtraBold" w:eastAsia="Roboto ExtraBold" w:hAnsi="Roboto ExtraBold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i w:val="1"/>
      <w:iCs w:val="1"/>
      <w:color w:val="666666"/>
      <w:sz w:val="22"/>
      <w:szCs w:val="22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color w:val="666666"/>
      <w:sz w:val="20"/>
      <w:szCs w:val="20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i w:val="1"/>
      <w:iCs w:val="1"/>
      <w:color w:val="666666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  <w:jc w:val="left"/>
    </w:pPr>
    <w:rPr>
      <w:b w:val="1"/>
      <w:bCs w:val="1"/>
      <w:i w:val="0"/>
      <w:iCs w:val="0"/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RobotoMono-regular.ttf"/><Relationship Id="rId10" Type="http://schemas.openxmlformats.org/officeDocument/2006/relationships/font" Target="fonts/RobotoCondensed-boldItalic.ttf"/><Relationship Id="rId13" Type="http://schemas.openxmlformats.org/officeDocument/2006/relationships/font" Target="fonts/RobotoMono-italic.ttf"/><Relationship Id="rId12" Type="http://schemas.openxmlformats.org/officeDocument/2006/relationships/font" Target="fonts/RobotoMono-bold.ttf"/><Relationship Id="rId1" Type="http://schemas.openxmlformats.org/officeDocument/2006/relationships/font" Target="fonts/RobotoExtraBold-bold.ttf"/><Relationship Id="rId2" Type="http://schemas.openxmlformats.org/officeDocument/2006/relationships/font" Target="fonts/RobotoExtraBold-boldItalic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9" Type="http://schemas.openxmlformats.org/officeDocument/2006/relationships/font" Target="fonts/RobotoCondensed-italic.ttf"/><Relationship Id="rId14" Type="http://schemas.openxmlformats.org/officeDocument/2006/relationships/font" Target="fonts/RobotoMono-boldItalic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Relationship Id="rId7" Type="http://schemas.openxmlformats.org/officeDocument/2006/relationships/font" Target="fonts/RobotoCondensed-regular.ttf"/><Relationship Id="rId8" Type="http://schemas.openxmlformats.org/officeDocument/2006/relationships/font" Target="fonts/RobotoCondensed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