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center"/>
        <w:tblLayout w:type="fixed"/>
        <w:tblLook w:val="0000"/>
      </w:tblPr>
      <w:tblGrid>
        <w:gridCol w:w="1985"/>
        <w:gridCol w:w="4453"/>
        <w:gridCol w:w="2918"/>
        <w:tblGridChange w:id="0">
          <w:tblGrid>
            <w:gridCol w:w="1985"/>
            <w:gridCol w:w="4453"/>
            <w:gridCol w:w="291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 назначении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судебной экспертизы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00" w:right="308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(повторной, дополнительной)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5"/>
        <w:tblW w:w="7224.0" w:type="dxa"/>
        <w:jc w:val="left"/>
        <w:tblInd w:w="-108.0" w:type="dxa"/>
        <w:tblLayout w:type="fixed"/>
        <w:tblLook w:val="0000"/>
      </w:tblPr>
      <w:tblGrid>
        <w:gridCol w:w="4668"/>
        <w:gridCol w:w="2160"/>
        <w:gridCol w:w="396"/>
        <w:tblGridChange w:id="0">
          <w:tblGrid>
            <w:gridCol w:w="4668"/>
            <w:gridCol w:w="2160"/>
            <w:gridCol w:w="39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 основание  назначения повторной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(дополнительной) судебной экспертизы)</w:t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ст. 195, 199 и 207 УПК РФ,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Layout w:type="fixed"/>
        <w:tblLook w:val="0000"/>
      </w:tblPr>
      <w:tblGrid>
        <w:gridCol w:w="2148"/>
        <w:gridCol w:w="7989"/>
        <w:tblGridChange w:id="0">
          <w:tblGrid>
            <w:gridCol w:w="2148"/>
            <w:gridCol w:w="798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Назначить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4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(повторную, дополнительную)</w:t>
      </w:r>
    </w:p>
    <w:tbl>
      <w:tblPr>
        <w:tblStyle w:val="Table38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68"/>
        <w:gridCol w:w="4291"/>
        <w:tblGridChange w:id="0">
          <w:tblGrid>
            <w:gridCol w:w="5868"/>
            <w:gridCol w:w="429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судебную экспертизу, производство которой поручить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эксперта либо</w:t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наименование экспертного учреждения)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Поставить перед экспертом вопросы:</w:t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(формулировка каждого вопроса)</w:t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3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548"/>
        <w:gridCol w:w="2611"/>
        <w:tblGridChange w:id="0">
          <w:tblGrid>
            <w:gridCol w:w="7548"/>
            <w:gridCol w:w="261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Предоставить в распоряжение эксперта материалы и предметы: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(какие именно)</w:t>
      </w:r>
    </w:p>
    <w:tbl>
      <w:tblPr>
        <w:tblStyle w:val="Table6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5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48"/>
        <w:gridCol w:w="8011"/>
        <w:tblGridChange w:id="0">
          <w:tblGrid>
            <w:gridCol w:w="2148"/>
            <w:gridCol w:w="801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Поручить: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(кому именно)</w:t>
      </w:r>
    </w:p>
    <w:tbl>
      <w:tblPr>
        <w:tblStyle w:val="Table7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разъяснить эксперту права и обязанности, предусмотренные ст. 57 УПК РФ, и предупредить его</w:t>
            </w:r>
          </w:p>
        </w:tc>
      </w:tr>
    </w:tbl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  уголовной    ответственности   в   соответствии  со  ст. 307 УК РФ за дачу заведомо ложного </w:t>
            </w:r>
          </w:p>
        </w:tc>
      </w:tr>
    </w:tbl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заключения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Права и обязанности, предусмотренные ст. 57 УПК РФ, мне разъяснены «____»____________ 20___ г.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Одновременно я предупрежден об уголовной ответственности по ст. 307 УК РФ за дачу заведомо ложного заключения.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Эксперт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sectPr>
      <w:headerReference r:id="rId8" w:type="default"/>
      <w:headerReference r:id="rId9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Данная графа заполняется в случаях, предусмотренных частью второй ст. 199 УПК РФ.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138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138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ixwQamZnXVHR8SVk4dD+sJLQGQ==">CgMxLjA4AHIhMW9kTzBvRi11OWZCbnlOMzBnUV9USmhldFN0WF80bTFU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2007-08-08T07:01:00Z</dcterms:created>
  <dc:creator>ВВС</dc:creator>
</cp:coreProperties>
</file>