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>
                                <w:color w:val="17375e"/>
                              </w:rPr>
                            </w:pPr>
                            <w:r>
                              <w:rPr>
                                <w:color w:val="002060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  <w:r>
                              <w:rPr>
                                <w:color w:val="17375e"/>
                              </w:rPr>
                            </w:r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002060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>
                          <w:color w:val="17375e"/>
                        </w:rPr>
                      </w:pPr>
                      <w:r>
                        <w:rPr>
                          <w:color w:val="002060"/>
                        </w:rPr>
                      </w:r>
                      <w:r>
                        <w:rPr>
                          <w:color w:val="17375e"/>
                        </w:rPr>
                      </w:r>
                      <w:r>
                        <w:rPr>
                          <w:color w:val="17375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38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404040" w:themeColor="text1" w:themeTint="BF"/>
          <w:sz w:val="96"/>
          <w:szCs w:val="96"/>
        </w:rPr>
      </w:pPr>
      <w:r>
        <w:rPr>
          <w:b/>
          <w:smallCaps/>
          <w:color w:val="404040" w:themeColor="text1" w:themeTint="BF"/>
          <w:sz w:val="96"/>
          <w:szCs w:val="96"/>
          <w:rtl w:val="0"/>
        </w:rPr>
        <w:t xml:space="preserve">[Full Name]</w:t>
      </w:r>
      <w:r>
        <w:rPr>
          <w:b/>
          <w:smallCaps/>
          <w:color w:val="404040" w:themeColor="text1" w:themeTint="BF"/>
          <w:sz w:val="96"/>
          <w:szCs w:val="96"/>
        </w:rPr>
      </w:r>
      <w:r>
        <w:rPr>
          <w:b/>
          <w:smallCaps/>
          <w:color w:val="404040" w:themeColor="text1" w:themeTint="BF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  <w:rtl w:val="0"/>
        </w:rPr>
      </w:r>
      <w:r>
        <w:rPr>
          <w:b/>
          <w:color w:val="002060"/>
          <w:sz w:val="30"/>
          <w:szCs w:val="30"/>
          <w:rtl w:val="0"/>
        </w:rPr>
        <w:t xml:space="preserve">Professional Translator &amp; Linguist</w:t>
      </w:r>
      <w:r>
        <w:rPr>
          <w:b/>
          <w:color w:val="002060"/>
          <w:sz w:val="30"/>
          <w:szCs w:val="30"/>
          <w:rtl w:val="0"/>
        </w:rPr>
      </w:r>
      <w:r>
        <w:rPr>
          <w:b/>
          <w:color w:val="002060"/>
          <w:sz w:val="30"/>
          <w:szCs w:val="30"/>
        </w:rPr>
      </w:r>
    </w:p>
    <w:tbl>
      <w:tblPr>
        <w:tblStyle w:val="940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  <w:trHeight w:val="1586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9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Detail-oriented and highly skilled professional translator with over 5 years of experience in providing accurate and culturally relevant translations. Specialized expertise in legal and technical documentation. Proficient in Computer-Assisted Translation (C</w:t>
            </w:r>
            <w:r>
              <w:rPr>
                <w:color w:val="404040"/>
                <w:sz w:val="20"/>
                <w:szCs w:val="20"/>
                <w:rtl w:val="0"/>
              </w:rPr>
              <w:t xml:space="preserve">AT) tools and adept at managing multiple projects while consistently meeting deadlines.</w:t>
            </w: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2"/>
              <w:pBdr/>
              <w:spacing w:after="200" w:before="0" w:line="240" w:lineRule="auto"/>
              <w:ind/>
              <w:jc w:val="both"/>
              <w:rPr>
                <w:b/>
                <w:smallCaps/>
                <w:color w:val="17375e"/>
                <w:sz w:val="28"/>
                <w:szCs w:val="28"/>
              </w:rPr>
            </w:pPr>
            <w:r>
              <w:rPr>
                <w:b/>
                <w:smallCaps/>
                <w:color w:val="17375e"/>
                <w:sz w:val="28"/>
                <w:szCs w:val="28"/>
                <w:rtl w:val="0"/>
              </w:rPr>
            </w:r>
            <w:r>
              <w:rPr>
                <w:b/>
                <w:smallCaps/>
                <w:color w:val="17375e"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</w:p>
        </w:tc>
      </w:tr>
      <w:tr>
        <w:trPr>
          <w:cantSplit w:val="false"/>
          <w:trHeight w:val="316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2019 – Present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34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Freelance Translator | Self-Employed | Riyadh, SA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94"/>
              <w:numPr>
                <w:ilvl w:val="0"/>
                <w:numId w:val="2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Provided translation services for a diverse range of clients, specializing in legal, technical, and marketing materials from Arabic to English and vice versa.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94"/>
              <w:numPr>
                <w:ilvl w:val="0"/>
                <w:numId w:val="22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Consistently achieved 100% on-time delivery for all assigned projects, contributing to high client satisfaction and repeat business.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  <w:r/>
          </w:p>
          <w:p>
            <w:pPr>
              <w:pStyle w:val="93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2017 – 2019</w:t>
            </w: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3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In-House Translator &amp; Content Specialist | Global Solutions Inc. | Dubai, UAE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94"/>
              <w:numPr>
                <w:ilvl w:val="0"/>
                <w:numId w:val="23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Translated internal company documents, reports, and communications, ensuring seamless information flow between Arabic and English-speaking teams.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94"/>
              <w:numPr>
                <w:ilvl w:val="0"/>
                <w:numId w:val="23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Localized marketing campaigns and website content for the Middle Eastern market, resulting in a 15% increase in regional user engagement.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</w:p>
        </w:tc>
      </w:tr>
      <w:tr>
        <w:trPr>
          <w:cantSplit w:val="false"/>
          <w:trHeight w:val="42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2"/>
              <w:pBdr/>
              <w:spacing w:after="200" w:before="0" w:line="240" w:lineRule="auto"/>
              <w:ind/>
              <w:jc w:val="both"/>
              <w:rPr>
                <w:b/>
                <w:smallCaps/>
                <w:color w:val="17375e"/>
                <w:sz w:val="28"/>
                <w:szCs w:val="28"/>
              </w:rPr>
            </w:pPr>
            <w:r>
              <w:rPr>
                <w:b/>
                <w:smallCaps/>
                <w:color w:val="17375e"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</w:p>
        </w:tc>
      </w:tr>
      <w:tr>
        <w:trPr>
          <w:cantSplit w:val="false"/>
          <w:trHeight w:val="1348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Bachelor of Arts in Translation Studies | American University of Sharjah | Sharjah, UAE</w:t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  <w:r/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Relevant coursework: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 Legal Translation, Simultaneous Interpretation, Machine Translation</w:t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cantSplit w:val="false"/>
          <w:trHeight w:val="413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32"/>
              <w:pBdr/>
              <w:spacing w:after="200" w:before="0" w:line="240" w:lineRule="auto"/>
              <w:ind/>
              <w:jc w:val="both"/>
              <w:rPr>
                <w:b/>
                <w:smallCaps/>
                <w:color w:val="17375e"/>
                <w:sz w:val="28"/>
                <w:szCs w:val="28"/>
              </w:rPr>
            </w:pPr>
            <w:r>
              <w:rPr>
                <w:b/>
                <w:smallCaps/>
                <w:color w:val="17375e"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  <w:r>
              <w:rPr>
                <w:b/>
                <w:smallCaps/>
                <w:color w:val="17375e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94"/>
              <w:numPr>
                <w:ilvl w:val="0"/>
                <w:numId w:val="25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Languages: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Arabic (Native), English (Fluent), French (Intermediate)</w:t>
            </w:r>
            <w:r/>
          </w:p>
          <w:p>
            <w:pPr>
              <w:pStyle w:val="894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  <w:p>
            <w:pPr>
              <w:pStyle w:val="894"/>
              <w:numPr>
                <w:ilvl w:val="0"/>
                <w:numId w:val="25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CAT Tools: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SDL Trados Studio, MemoQ, Wordfast</w:t>
            </w:r>
            <w:r>
              <w:rPr>
                <w:b w:val="0"/>
                <w:bCs w:val="0"/>
              </w:rPr>
            </w:r>
          </w:p>
          <w:p>
            <w:pPr>
              <w:pStyle w:val="894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94"/>
              <w:numPr>
                <w:ilvl w:val="0"/>
                <w:numId w:val="24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Specializations: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Legal, Technical, Financial, and Marketing Translation</w:t>
            </w:r>
            <w:r/>
          </w:p>
          <w:p>
            <w:pPr>
              <w:pStyle w:val="894"/>
              <w:pBdr/>
              <w:spacing w:before="120" w:line="240" w:lineRule="auto"/>
              <w:ind/>
              <w:jc w:val="both"/>
              <w:rPr/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</w:p>
          <w:p>
            <w:pPr>
              <w:pStyle w:val="894"/>
              <w:numPr>
                <w:ilvl w:val="0"/>
                <w:numId w:val="24"/>
              </w:numPr>
              <w:pBdr/>
              <w:spacing w:before="120" w:line="240" w:lineRule="auto"/>
              <w:ind/>
              <w:jc w:val="both"/>
              <w:rPr>
                <w:b w:val="0"/>
                <w:bCs w:val="0"/>
                <w:color w:val="404040"/>
                <w:sz w:val="20"/>
                <w:szCs w:val="20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Soft Skills: 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Attention to Detail, Time Management, Cross-cultural Communication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b w:val="0"/>
                <w:bCs w:val="0"/>
                <w:color w:val="404040"/>
                <w:sz w:val="20"/>
                <w:szCs w:val="20"/>
              </w:rPr>
            </w:r>
          </w:p>
        </w:tc>
      </w:tr>
    </w:tbl>
    <w:p>
      <w:pPr>
        <w:pStyle w:val="934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576629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5C9468E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430C6D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55674E3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nsid w:val="54F8AA2B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8051E3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8B04D4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48C4D3D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nsid w:val="1C02BED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6">
    <w:name w:val="Heading 7"/>
    <w:basedOn w:val="930"/>
    <w:next w:val="930"/>
    <w:link w:val="8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7">
    <w:name w:val="Heading 8"/>
    <w:basedOn w:val="930"/>
    <w:next w:val="930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Heading 9"/>
    <w:basedOn w:val="930"/>
    <w:next w:val="930"/>
    <w:link w:val="8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9" w:default="1">
    <w:name w:val="Default Paragraph Font"/>
    <w:uiPriority w:val="1"/>
    <w:semiHidden/>
    <w:unhideWhenUsed/>
    <w:pPr>
      <w:pBdr/>
      <w:spacing/>
      <w:ind/>
    </w:p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character" w:styleId="881">
    <w:name w:val="Heading 1 Char"/>
    <w:basedOn w:val="879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2">
    <w:name w:val="Heading 2 Char"/>
    <w:basedOn w:val="879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3">
    <w:name w:val="Heading 3 Char"/>
    <w:basedOn w:val="879"/>
    <w:link w:val="9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4">
    <w:name w:val="Heading 4 Char"/>
    <w:basedOn w:val="879"/>
    <w:link w:val="9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5">
    <w:name w:val="Heading 5 Char"/>
    <w:basedOn w:val="879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6">
    <w:name w:val="Heading 6 Char"/>
    <w:basedOn w:val="879"/>
    <w:link w:val="9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7">
    <w:name w:val="Heading 7 Char"/>
    <w:basedOn w:val="879"/>
    <w:link w:val="8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8">
    <w:name w:val="Heading 8 Char"/>
    <w:basedOn w:val="879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9 Char"/>
    <w:basedOn w:val="879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0">
    <w:name w:val="Title Char"/>
    <w:basedOn w:val="879"/>
    <w:link w:val="9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1">
    <w:name w:val="Subtitle Char"/>
    <w:basedOn w:val="879"/>
    <w:link w:val="9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2">
    <w:name w:val="Quote"/>
    <w:basedOn w:val="930"/>
    <w:next w:val="930"/>
    <w:link w:val="8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3">
    <w:name w:val="Quote Char"/>
    <w:basedOn w:val="879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4">
    <w:name w:val="List Paragraph"/>
    <w:basedOn w:val="930"/>
    <w:uiPriority w:val="34"/>
    <w:qFormat/>
    <w:pPr>
      <w:pBdr/>
      <w:spacing/>
      <w:ind w:left="720"/>
      <w:contextualSpacing w:val="true"/>
    </w:pPr>
  </w:style>
  <w:style w:type="character" w:styleId="895">
    <w:name w:val="Intense Emphasis"/>
    <w:basedOn w:val="8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6">
    <w:name w:val="Intense Quote"/>
    <w:basedOn w:val="930"/>
    <w:next w:val="930"/>
    <w:link w:val="8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7">
    <w:name w:val="Intense Quote Char"/>
    <w:basedOn w:val="879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8">
    <w:name w:val="Intense Reference"/>
    <w:basedOn w:val="8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9">
    <w:name w:val="No Spacing"/>
    <w:basedOn w:val="930"/>
    <w:uiPriority w:val="1"/>
    <w:qFormat/>
    <w:pPr>
      <w:pBdr/>
      <w:spacing w:after="0" w:line="240" w:lineRule="auto"/>
      <w:ind/>
    </w:pPr>
  </w:style>
  <w:style w:type="character" w:styleId="900">
    <w:name w:val="Subtle Emphasis"/>
    <w:basedOn w:val="8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1">
    <w:name w:val="Emphasis"/>
    <w:basedOn w:val="879"/>
    <w:uiPriority w:val="20"/>
    <w:qFormat/>
    <w:pPr>
      <w:pBdr/>
      <w:spacing/>
      <w:ind/>
    </w:pPr>
    <w:rPr>
      <w:i/>
      <w:iCs/>
    </w:rPr>
  </w:style>
  <w:style w:type="character" w:styleId="902">
    <w:name w:val="Strong"/>
    <w:basedOn w:val="879"/>
    <w:uiPriority w:val="22"/>
    <w:qFormat/>
    <w:pPr>
      <w:pBdr/>
      <w:spacing/>
      <w:ind/>
    </w:pPr>
    <w:rPr>
      <w:b/>
      <w:bCs/>
    </w:rPr>
  </w:style>
  <w:style w:type="character" w:styleId="903">
    <w:name w:val="Subtle Reference"/>
    <w:basedOn w:val="8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4">
    <w:name w:val="Book Title"/>
    <w:basedOn w:val="8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5">
    <w:name w:val="Header"/>
    <w:basedOn w:val="930"/>
    <w:link w:val="90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6">
    <w:name w:val="Header Char"/>
    <w:basedOn w:val="879"/>
    <w:link w:val="905"/>
    <w:uiPriority w:val="99"/>
    <w:pPr>
      <w:pBdr/>
      <w:spacing/>
      <w:ind/>
    </w:pPr>
  </w:style>
  <w:style w:type="paragraph" w:styleId="907">
    <w:name w:val="Footer"/>
    <w:basedOn w:val="930"/>
    <w:link w:val="90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8">
    <w:name w:val="Footer Char"/>
    <w:basedOn w:val="879"/>
    <w:link w:val="907"/>
    <w:uiPriority w:val="99"/>
    <w:pPr>
      <w:pBdr/>
      <w:spacing/>
      <w:ind/>
    </w:pPr>
  </w:style>
  <w:style w:type="paragraph" w:styleId="909">
    <w:name w:val="Caption"/>
    <w:basedOn w:val="930"/>
    <w:next w:val="9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0">
    <w:name w:val="footnote text"/>
    <w:basedOn w:val="930"/>
    <w:link w:val="91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1">
    <w:name w:val="Footnote Text Char"/>
    <w:basedOn w:val="879"/>
    <w:link w:val="910"/>
    <w:uiPriority w:val="99"/>
    <w:semiHidden/>
    <w:pPr>
      <w:pBdr/>
      <w:spacing/>
      <w:ind/>
    </w:pPr>
    <w:rPr>
      <w:sz w:val="20"/>
      <w:szCs w:val="20"/>
    </w:rPr>
  </w:style>
  <w:style w:type="character" w:styleId="912">
    <w:name w:val="foot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930"/>
    <w:link w:val="91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4">
    <w:name w:val="Endnote Text Char"/>
    <w:basedOn w:val="879"/>
    <w:link w:val="913"/>
    <w:uiPriority w:val="99"/>
    <w:semiHidden/>
    <w:pPr>
      <w:pBdr/>
      <w:spacing/>
      <w:ind/>
    </w:pPr>
    <w:rPr>
      <w:sz w:val="20"/>
      <w:szCs w:val="20"/>
    </w:rPr>
  </w:style>
  <w:style w:type="character" w:styleId="915">
    <w:name w:val="endnote reference"/>
    <w:basedOn w:val="879"/>
    <w:uiPriority w:val="99"/>
    <w:semiHidden/>
    <w:unhideWhenUsed/>
    <w:pPr>
      <w:pBdr/>
      <w:spacing/>
      <w:ind/>
    </w:pPr>
    <w:rPr>
      <w:vertAlign w:val="superscript"/>
    </w:rPr>
  </w:style>
  <w:style w:type="character" w:styleId="916">
    <w:name w:val="Hyperlink"/>
    <w:basedOn w:val="87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7">
    <w:name w:val="FollowedHyperlink"/>
    <w:basedOn w:val="8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1"/>
    <w:basedOn w:val="930"/>
    <w:next w:val="930"/>
    <w:uiPriority w:val="39"/>
    <w:unhideWhenUsed/>
    <w:pPr>
      <w:pBdr/>
      <w:spacing w:after="100"/>
      <w:ind/>
    </w:pPr>
  </w:style>
  <w:style w:type="paragraph" w:styleId="919">
    <w:name w:val="toc 2"/>
    <w:basedOn w:val="930"/>
    <w:next w:val="930"/>
    <w:uiPriority w:val="39"/>
    <w:unhideWhenUsed/>
    <w:pPr>
      <w:pBdr/>
      <w:spacing w:after="100"/>
      <w:ind w:left="220"/>
    </w:pPr>
  </w:style>
  <w:style w:type="paragraph" w:styleId="920">
    <w:name w:val="toc 3"/>
    <w:basedOn w:val="930"/>
    <w:next w:val="930"/>
    <w:uiPriority w:val="39"/>
    <w:unhideWhenUsed/>
    <w:pPr>
      <w:pBdr/>
      <w:spacing w:after="100"/>
      <w:ind w:left="440"/>
    </w:pPr>
  </w:style>
  <w:style w:type="paragraph" w:styleId="921">
    <w:name w:val="toc 4"/>
    <w:basedOn w:val="930"/>
    <w:next w:val="930"/>
    <w:uiPriority w:val="39"/>
    <w:unhideWhenUsed/>
    <w:pPr>
      <w:pBdr/>
      <w:spacing w:after="100"/>
      <w:ind w:left="660"/>
    </w:pPr>
  </w:style>
  <w:style w:type="paragraph" w:styleId="922">
    <w:name w:val="toc 5"/>
    <w:basedOn w:val="930"/>
    <w:next w:val="930"/>
    <w:uiPriority w:val="39"/>
    <w:unhideWhenUsed/>
    <w:pPr>
      <w:pBdr/>
      <w:spacing w:after="100"/>
      <w:ind w:left="880"/>
    </w:pPr>
  </w:style>
  <w:style w:type="paragraph" w:styleId="923">
    <w:name w:val="toc 6"/>
    <w:basedOn w:val="930"/>
    <w:next w:val="930"/>
    <w:uiPriority w:val="39"/>
    <w:unhideWhenUsed/>
    <w:pPr>
      <w:pBdr/>
      <w:spacing w:after="100"/>
      <w:ind w:left="1100"/>
    </w:pPr>
  </w:style>
  <w:style w:type="paragraph" w:styleId="924">
    <w:name w:val="toc 7"/>
    <w:basedOn w:val="930"/>
    <w:next w:val="930"/>
    <w:uiPriority w:val="39"/>
    <w:unhideWhenUsed/>
    <w:pPr>
      <w:pBdr/>
      <w:spacing w:after="100"/>
      <w:ind w:left="1320"/>
    </w:pPr>
  </w:style>
  <w:style w:type="paragraph" w:styleId="925">
    <w:name w:val="toc 8"/>
    <w:basedOn w:val="930"/>
    <w:next w:val="930"/>
    <w:uiPriority w:val="39"/>
    <w:unhideWhenUsed/>
    <w:pPr>
      <w:pBdr/>
      <w:spacing w:after="100"/>
      <w:ind w:left="1540"/>
    </w:pPr>
  </w:style>
  <w:style w:type="paragraph" w:styleId="926">
    <w:name w:val="toc 9"/>
    <w:basedOn w:val="930"/>
    <w:next w:val="930"/>
    <w:uiPriority w:val="39"/>
    <w:unhideWhenUsed/>
    <w:pPr>
      <w:pBdr/>
      <w:spacing w:after="100"/>
      <w:ind w:left="1760"/>
    </w:pPr>
  </w:style>
  <w:style w:type="character" w:styleId="927">
    <w:name w:val="Placeholder Text"/>
    <w:basedOn w:val="879"/>
    <w:uiPriority w:val="99"/>
    <w:semiHidden/>
    <w:pPr>
      <w:pBdr/>
      <w:spacing/>
      <w:ind/>
    </w:pPr>
    <w:rPr>
      <w:color w:val="666666"/>
    </w:r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pPr>
      <w:pBdr/>
      <w:spacing/>
      <w:ind/>
    </w:pPr>
  </w:style>
  <w:style w:type="table" w:styleId="93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2">
    <w:name w:val="Heading 1"/>
    <w:basedOn w:val="930"/>
    <w:next w:val="93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33">
    <w:name w:val="Heading 2"/>
    <w:basedOn w:val="930"/>
    <w:next w:val="930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34">
    <w:name w:val="Heading 3"/>
    <w:basedOn w:val="930"/>
    <w:next w:val="930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35">
    <w:name w:val="Heading 4"/>
    <w:basedOn w:val="930"/>
    <w:next w:val="93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36">
    <w:name w:val="Heading 5"/>
    <w:basedOn w:val="930"/>
    <w:next w:val="93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37">
    <w:name w:val="Heading 6"/>
    <w:basedOn w:val="930"/>
    <w:next w:val="930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38">
    <w:name w:val="Title"/>
    <w:basedOn w:val="930"/>
    <w:next w:val="93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39">
    <w:name w:val="Subtitle"/>
    <w:basedOn w:val="930"/>
    <w:next w:val="93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40">
    <w:name w:val="StGen0"/>
    <w:basedOn w:val="93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2025-09-09T04:49:55Z</dcterms:modified>
</cp:coreProperties>
</file>