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lineRule="auto"/>
        <w:rPr>
          <w:rFonts w:ascii="Roboto" w:cs="Roboto" w:eastAsia="Roboto" w:hAnsi="Roboto"/>
          <w:color w:val="191c1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37.7862480565727"/>
        <w:gridCol w:w="287.4366818797332"/>
        <w:gridCol w:w="4225.319223632078"/>
        <w:gridCol w:w="273.0648477857465"/>
        <w:gridCol w:w="2701.9048096694924"/>
        <w:tblGridChange w:id="0">
          <w:tblGrid>
            <w:gridCol w:w="1537.7862480565727"/>
            <w:gridCol w:w="287.4366818797332"/>
            <w:gridCol w:w="4225.319223632078"/>
            <w:gridCol w:w="273.0648477857465"/>
            <w:gridCol w:w="2701.9048096694924"/>
          </w:tblGrid>
        </w:tblGridChange>
      </w:tblGrid>
      <w:tr>
        <w:trPr>
          <w:cantSplit w:val="0"/>
          <w:trHeight w:val="2265" w:hRule="atLeast"/>
          <w:tblHeader w:val="0"/>
        </w:trPr>
        <w:tc>
          <w:tcPr>
            <w:tcBorders>
              <w:top w:color="141212" w:space="0" w:sz="5" w:val="single"/>
              <w:left w:color="141212" w:space="0" w:sz="5" w:val="single"/>
              <w:bottom w:color="141212" w:space="0" w:sz="5" w:val="single"/>
              <w:right w:color="141212" w:space="0" w:sz="5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Mức lương thực hiện từ ngày 01 tháng 7 năm 2026</w:t>
            </w:r>
          </w:p>
        </w:tc>
        <w:tc>
          <w:tcPr>
            <w:tcBorders>
              <w:top w:color="141212" w:space="0" w:sz="5" w:val="single"/>
              <w:left w:color="141212" w:space="0" w:sz="5" w:val="single"/>
              <w:bottom w:color="141212" w:space="0" w:sz="5" w:val="single"/>
              <w:right w:color="141212" w:space="0" w:sz="5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=</w:t>
            </w:r>
          </w:p>
        </w:tc>
        <w:tc>
          <w:tcPr>
            <w:tcBorders>
              <w:top w:color="141212" w:space="0" w:sz="5" w:val="single"/>
              <w:left w:color="141212" w:space="0" w:sz="5" w:val="single"/>
              <w:bottom w:color="141212" w:space="0" w:sz="5" w:val="single"/>
              <w:right w:color="141212" w:space="0" w:sz="5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Mức lương cơ sở 2.530.000 đồng/tháng</w:t>
            </w:r>
          </w:p>
        </w:tc>
        <w:tc>
          <w:tcPr>
            <w:tcBorders>
              <w:top w:color="141212" w:space="0" w:sz="5" w:val="single"/>
              <w:left w:color="141212" w:space="0" w:sz="5" w:val="single"/>
              <w:bottom w:color="141212" w:space="0" w:sz="5" w:val="single"/>
              <w:right w:color="141212" w:space="0" w:sz="5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141212" w:space="0" w:sz="5" w:val="single"/>
              <w:left w:color="141212" w:space="0" w:sz="5" w:val="single"/>
              <w:bottom w:color="141212" w:space="0" w:sz="5" w:val="single"/>
              <w:right w:color="141212" w:space="0" w:sz="5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Hệ số lương hiện hưởng</w:t>
            </w:r>
          </w:p>
        </w:tc>
      </w:tr>
    </w:tbl>
    <w:p w:rsidR="00000000" w:rsidDel="00000000" w:rsidP="00000000" w:rsidRDefault="00000000" w:rsidRPr="00000000" w14:paraId="00000007">
      <w:pPr>
        <w:shd w:fill="ffffff" w:val="clear"/>
        <w:spacing w:after="240" w:lineRule="auto"/>
        <w:rPr>
          <w:rFonts w:ascii="Roboto" w:cs="Roboto" w:eastAsia="Roboto" w:hAnsi="Roboto"/>
          <w:color w:val="191c1e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91c1e"/>
          <w:sz w:val="24"/>
          <w:szCs w:val="24"/>
          <w:rtl w:val="0"/>
        </w:rPr>
        <w:t xml:space="preserve">Căn cứ theo Bảng 4 Bảng lương nhân viên thừa hành, phục vụ trong các cơ quan nhà nước và các đơn vị sự nghiệp của Nhà nước ban hành kèm theo Nghị định 204/2004/NĐ-CP. Cụ thể:</w:t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rPr>
          <w:rFonts w:ascii="Roboto" w:cs="Roboto" w:eastAsia="Roboto" w:hAnsi="Roboto"/>
          <w:color w:val="191c1e"/>
          <w:sz w:val="24"/>
          <w:szCs w:val="24"/>
        </w:rPr>
      </w:pPr>
      <w:r w:rsidDel="00000000" w:rsidR="00000000" w:rsidRPr="00000000">
        <w:rPr>
          <w:rFonts w:ascii="Andika" w:cs="Andika" w:eastAsia="Andika" w:hAnsi="Andika"/>
          <w:color w:val="191c1e"/>
          <w:sz w:val="24"/>
          <w:szCs w:val="24"/>
          <w:rtl w:val="0"/>
        </w:rPr>
        <w:t xml:space="preserve">+ Lương nhân viên bảo vệ trong cơ quan Nhà nước áp dụng hệ số lương từ 1,5 - 3,48.</w:t>
      </w:r>
    </w:p>
    <w:p w:rsidR="00000000" w:rsidDel="00000000" w:rsidP="00000000" w:rsidRDefault="00000000" w:rsidRPr="00000000" w14:paraId="00000009">
      <w:pPr>
        <w:shd w:fill="ffffff" w:val="clear"/>
        <w:spacing w:after="240" w:lineRule="auto"/>
        <w:rPr>
          <w:rFonts w:ascii="Roboto" w:cs="Roboto" w:eastAsia="Roboto" w:hAnsi="Roboto"/>
          <w:i w:val="1"/>
          <w:iCs w:val="1"/>
          <w:color w:val="191c1e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191c1e"/>
          <w:sz w:val="24"/>
          <w:szCs w:val="24"/>
          <w:rtl w:val="0"/>
        </w:rPr>
        <w:t xml:space="preserve">Dưới đây là bảng lương nhân viên bảo vệ trong cơ quan Nhà nước áp dụng từ 1/7/2026: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98.729095052894"/>
        <w:gridCol w:w="1238.1448714644396"/>
        <w:gridCol w:w="3468.7972940491677"/>
        <w:gridCol w:w="3219.840550457122"/>
        <w:tblGridChange w:id="0">
          <w:tblGrid>
            <w:gridCol w:w="1098.729095052894"/>
            <w:gridCol w:w="1238.1448714644396"/>
            <w:gridCol w:w="3468.7972940491677"/>
            <w:gridCol w:w="3219.840550457122"/>
          </w:tblGrid>
        </w:tblGridChange>
      </w:tblGrid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Bậc lương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Hệ số lương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Mức lương trước 01/07/2026 (Đơn vị: Đồng)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91c1e"/>
                <w:sz w:val="24"/>
                <w:szCs w:val="24"/>
                <w:rtl w:val="0"/>
              </w:rPr>
              <w:t xml:space="preserve">Mức lương từ 01/07/2026 (Đơn vị: Đồng)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1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1,5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3.510.000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3.795.000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2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1,68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3.931.200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4.250.400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3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1,86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4.352.400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4.705.800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4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2,04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4.773.600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5.161.200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5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2,22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5.194.800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5.616.600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6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2,4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5.616.000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6.072.000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7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2,58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6.037.200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6.527.400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8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2,76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6.458.400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6.982.800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9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2,94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6.879.600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7.438.200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10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3,12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7.300.800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7.893.600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11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3,3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7.722.000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8.349.000</w:t>
            </w:r>
          </w:p>
        </w:tc>
      </w:tr>
      <w:tr>
        <w:trPr>
          <w:cantSplit w:val="0"/>
          <w:trHeight w:val="950" w:hRule="atLeast"/>
          <w:tblHeader w:val="0"/>
        </w:trPr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Bậc 12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3,48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8.143.200</w:t>
            </w:r>
          </w:p>
        </w:tc>
        <w:tc>
          <w:tcPr>
            <w:tcBorders>
              <w:top w:color="212529" w:space="0" w:sz="5" w:val="single"/>
              <w:left w:color="212529" w:space="0" w:sz="5" w:val="single"/>
              <w:bottom w:color="212529" w:space="0" w:sz="5" w:val="single"/>
              <w:right w:color="212529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lineRule="auto"/>
              <w:rPr>
                <w:rFonts w:ascii="Roboto" w:cs="Roboto" w:eastAsia="Roboto" w:hAnsi="Roboto"/>
                <w:color w:val="191c1e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91c1e"/>
                <w:sz w:val="24"/>
                <w:szCs w:val="24"/>
                <w:rtl w:val="0"/>
              </w:rPr>
              <w:t xml:space="preserve">8.804.400</w:t>
            </w:r>
          </w:p>
        </w:tc>
      </w:tr>
    </w:tbl>
    <w:p w:rsidR="00000000" w:rsidDel="00000000" w:rsidP="00000000" w:rsidRDefault="00000000" w:rsidRPr="00000000" w14:paraId="0000003E">
      <w:pPr>
        <w:shd w:fill="ffffff" w:val="clear"/>
        <w:spacing w:after="240" w:lineRule="auto"/>
        <w:rPr>
          <w:rFonts w:ascii="Roboto" w:cs="Roboto" w:eastAsia="Roboto" w:hAnsi="Roboto"/>
          <w:b w:val="1"/>
          <w:bCs w:val="1"/>
          <w:color w:val="cf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cf0000"/>
          <w:sz w:val="24"/>
          <w:szCs w:val="24"/>
          <w:rtl w:val="0"/>
        </w:rPr>
        <w:t xml:space="preserve">Đối với người làm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cf0000"/>
          <w:sz w:val="24"/>
          <w:szCs w:val="24"/>
          <w:u w:val="single"/>
          <w:rtl w:val="0"/>
        </w:rPr>
        <w:t xml:space="preserve">Bảo vệ, tuần tra canh gác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cf0000"/>
          <w:sz w:val="24"/>
          <w:szCs w:val="24"/>
          <w:rtl w:val="0"/>
        </w:rPr>
        <w:t xml:space="preserve"> thì sẽ là Công chức loại C - Nhóm 1 (C1), áp dụng BẢNG LƯƠNG CHUYÊN MÔN, NGHIỆP VỤ ĐỐI VỚI CÁN BỘ, CÔNG CHỨC TRONG CÁC CƠ QUAN NHÀ NƯỚC (Bảng 2 Phụ lục Nghị định 204) với hệ số lương 1,65 - 3.63.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