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Accelerating</w:t>
      </w:r>
      <w:r w:rsidDel="00000000" w:rsidR="00000000" w:rsidRPr="00000000">
        <w:rPr>
          <w:b w:val="1"/>
          <w:bCs w:val="1"/>
          <w:sz w:val="28"/>
          <w:szCs w:val="28"/>
          <w:rtl w:val="0"/>
        </w:rPr>
        <w:t xml:space="preserve"> Care Transformation (ACT) Initiative: </w:t>
      </w:r>
    </w:p>
    <w:p w:rsidR="00000000" w:rsidDel="00000000" w:rsidP="00000000" w:rsidRDefault="00000000" w:rsidRPr="00000000" w14:paraId="00000002">
      <w:pPr>
        <w:jc w:val="center"/>
        <w:rPr>
          <w:b w:val="1"/>
          <w:bCs w:val="1"/>
          <w:i w:val="1"/>
          <w:iCs w:val="1"/>
          <w:sz w:val="28"/>
          <w:szCs w:val="28"/>
        </w:rPr>
      </w:pPr>
      <w:r w:rsidDel="00000000" w:rsidR="00000000" w:rsidRPr="00000000">
        <w:rPr>
          <w:b w:val="1"/>
          <w:bCs w:val="1"/>
          <w:i w:val="1"/>
          <w:iCs w:val="1"/>
          <w:sz w:val="28"/>
          <w:szCs w:val="28"/>
          <w:rtl w:val="0"/>
        </w:rPr>
        <w:t xml:space="preserve">Helping Organizations Achieve Strategic Goals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60" w:line="256.7994545454545" w:lineRule="auto"/>
        <w:rPr/>
      </w:pPr>
      <w:r w:rsidDel="00000000" w:rsidR="00000000" w:rsidRPr="00000000">
        <w:rPr>
          <w:rtl w:val="0"/>
        </w:rPr>
        <w:t xml:space="preserve">ACT provides a proven approach to reengineering healthcare processes, using relevant tools and methods with support from key collaborators, to help organizations achieve clinical and business goals.</w:t>
      </w:r>
    </w:p>
    <w:p w:rsidR="00000000" w:rsidDel="00000000" w:rsidP="00000000" w:rsidRDefault="00000000" w:rsidRPr="00000000" w14:paraId="00000005">
      <w:pPr>
        <w:spacing w:after="160" w:line="256.7994545454545" w:lineRule="auto"/>
        <w:rPr>
          <w:b w:val="1"/>
          <w:bCs w:val="1"/>
          <w:sz w:val="26"/>
          <w:szCs w:val="26"/>
        </w:rPr>
      </w:pPr>
      <w:r w:rsidDel="00000000" w:rsidR="00000000" w:rsidRPr="00000000">
        <w:rPr>
          <w:b w:val="1"/>
          <w:bCs w:val="1"/>
          <w:sz w:val="24"/>
          <w:szCs w:val="24"/>
          <w:rtl w:val="0"/>
        </w:rPr>
        <w:t xml:space="preserve">Problem Statement</w:t>
      </w:r>
      <w:r w:rsidDel="00000000" w:rsidR="00000000" w:rsidRPr="00000000">
        <w:rPr>
          <w:rtl w:val="0"/>
        </w:rPr>
      </w:r>
    </w:p>
    <w:p w:rsidR="00000000" w:rsidDel="00000000" w:rsidP="00000000" w:rsidRDefault="00000000" w:rsidRPr="00000000" w14:paraId="00000006">
      <w:pPr>
        <w:numPr>
          <w:ilvl w:val="0"/>
          <w:numId w:val="2"/>
        </w:numPr>
        <w:spacing w:after="200" w:line="256.7994545454545" w:lineRule="auto"/>
        <w:ind w:left="720" w:hanging="360"/>
        <w:rPr>
          <w:u w:val="none"/>
        </w:rPr>
      </w:pPr>
      <w:r w:rsidDel="00000000" w:rsidR="00000000" w:rsidRPr="00000000">
        <w:rPr>
          <w:b w:val="1"/>
          <w:bCs w:val="1"/>
          <w:rtl w:val="0"/>
        </w:rPr>
        <w:t xml:space="preserve">Urgent</w:t>
      </w:r>
      <w:r w:rsidDel="00000000" w:rsidR="00000000" w:rsidRPr="00000000">
        <w:rPr>
          <w:b w:val="1"/>
          <w:bCs w:val="1"/>
          <w:rtl w:val="0"/>
        </w:rPr>
        <w:t xml:space="preserve"> challenges:</w:t>
      </w:r>
      <w:r w:rsidDel="00000000" w:rsidR="00000000" w:rsidRPr="00000000">
        <w:rPr>
          <w:rtl w:val="0"/>
        </w:rPr>
        <w:t xml:space="preserve"> Healthcare stakeholders – including patients, care teams, health systems, and others – are facing</w:t>
      </w:r>
      <w:r w:rsidDel="00000000" w:rsidR="00000000" w:rsidRPr="00000000">
        <w:rPr>
          <w:rtl w:val="0"/>
        </w:rPr>
        <w:t xml:space="preserve"> pressing needs to improve health outcomes, care quality and equity, patient / care team experience, and finances</w:t>
      </w:r>
      <w:r w:rsidDel="00000000" w:rsidR="00000000" w:rsidRPr="00000000">
        <w:rPr>
          <w:rtl w:val="0"/>
        </w:rPr>
        <w:t xml:space="preserve">.</w:t>
      </w:r>
    </w:p>
    <w:p w:rsidR="00000000" w:rsidDel="00000000" w:rsidP="00000000" w:rsidRDefault="00000000" w:rsidRPr="00000000" w14:paraId="00000007">
      <w:pPr>
        <w:numPr>
          <w:ilvl w:val="0"/>
          <w:numId w:val="2"/>
        </w:numPr>
        <w:spacing w:after="200" w:before="0" w:line="256.7994545454545" w:lineRule="auto"/>
        <w:ind w:left="720" w:hanging="360"/>
        <w:rPr>
          <w:u w:val="none"/>
        </w:rPr>
      </w:pPr>
      <w:r w:rsidDel="00000000" w:rsidR="00000000" w:rsidRPr="00000000">
        <w:rPr>
          <w:b w:val="1"/>
          <w:bCs w:val="1"/>
          <w:rtl w:val="0"/>
        </w:rPr>
        <w:t xml:space="preserve">Care delivery processes:</w:t>
      </w:r>
      <w:r w:rsidDel="00000000" w:rsidR="00000000" w:rsidRPr="00000000">
        <w:rPr>
          <w:rtl w:val="0"/>
        </w:rPr>
        <w:t xml:space="preserve"> A core driver for these challenges is that care delivery processes are often inefficient and ineffective in achieving goals for patients and other stakeholders. Process complexity and variation make it difficult to improve care processes at scale.</w:t>
      </w:r>
    </w:p>
    <w:p w:rsidR="00000000" w:rsidDel="00000000" w:rsidP="00000000" w:rsidRDefault="00000000" w:rsidRPr="00000000" w14:paraId="00000008">
      <w:pPr>
        <w:numPr>
          <w:ilvl w:val="0"/>
          <w:numId w:val="2"/>
        </w:numPr>
        <w:spacing w:after="160" w:line="256.7994545454545" w:lineRule="auto"/>
        <w:ind w:left="720" w:hanging="360"/>
        <w:rPr>
          <w:u w:val="none"/>
        </w:rPr>
      </w:pPr>
      <w:r w:rsidDel="00000000" w:rsidR="00000000" w:rsidRPr="00000000">
        <w:rPr>
          <w:b w:val="1"/>
          <w:bCs w:val="1"/>
          <w:rtl w:val="0"/>
        </w:rPr>
        <w:t xml:space="preserve">Siloed efforts:</w:t>
      </w:r>
      <w:r w:rsidDel="00000000" w:rsidR="00000000" w:rsidRPr="00000000">
        <w:rPr>
          <w:rtl w:val="0"/>
        </w:rPr>
        <w:t xml:space="preserve"> Healthcare clinical and business outcomes are driven by complex relationships among </w:t>
      </w:r>
      <w:r w:rsidDel="00000000" w:rsidR="00000000" w:rsidRPr="00000000">
        <w:rPr>
          <w:rtl w:val="0"/>
        </w:rPr>
        <w:t xml:space="preserve">diverse and interdependent stakeholders – </w:t>
      </w:r>
      <w:r w:rsidDel="00000000" w:rsidR="00000000" w:rsidRPr="00000000">
        <w:rPr>
          <w:rtl w:val="0"/>
        </w:rPr>
        <w:t xml:space="preserve">including patients, care teams, health systems, payers, regulators, and vendors. Efforts to improve outcomes are typically </w:t>
      </w:r>
      <w:r w:rsidDel="00000000" w:rsidR="00000000" w:rsidRPr="00000000">
        <w:rPr>
          <w:rtl w:val="0"/>
        </w:rPr>
        <w:t xml:space="preserve">siloed within and across organizations</w:t>
      </w:r>
      <w:r w:rsidDel="00000000" w:rsidR="00000000" w:rsidRPr="00000000">
        <w:rPr>
          <w:rtl w:val="0"/>
        </w:rPr>
        <w:t xml:space="preserve">, impeding progress and benefits.</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spacing w:after="200" w:lineRule="auto"/>
        <w:ind w:left="0" w:firstLine="0"/>
        <w:rPr>
          <w:b w:val="1"/>
          <w:bCs w:val="1"/>
          <w:sz w:val="24"/>
          <w:szCs w:val="24"/>
        </w:rPr>
      </w:pPr>
      <w:r w:rsidDel="00000000" w:rsidR="00000000" w:rsidRPr="00000000">
        <w:rPr>
          <w:b w:val="1"/>
          <w:bCs w:val="1"/>
          <w:sz w:val="24"/>
          <w:szCs w:val="24"/>
          <w:rtl w:val="0"/>
        </w:rPr>
        <w:t xml:space="preserve">ACT Approach and Offerings</w:t>
      </w:r>
    </w:p>
    <w:p w:rsidR="00000000" w:rsidDel="00000000" w:rsidP="00000000" w:rsidRDefault="00000000" w:rsidRPr="00000000" w14:paraId="0000000B">
      <w:pPr>
        <w:spacing w:after="200" w:lineRule="auto"/>
        <w:rPr/>
      </w:pPr>
      <w:r w:rsidDel="00000000" w:rsidR="00000000" w:rsidRPr="00000000">
        <w:rPr>
          <w:rtl w:val="0"/>
        </w:rPr>
        <w:t xml:space="preserve">The </w:t>
      </w:r>
      <w:r w:rsidDel="00000000" w:rsidR="00000000" w:rsidRPr="00000000">
        <w:rPr>
          <w:b w:val="1"/>
          <w:bCs w:val="1"/>
          <w:rtl w:val="0"/>
        </w:rPr>
        <w:t xml:space="preserve">core ACT engine</w:t>
      </w:r>
      <w:r w:rsidDel="00000000" w:rsidR="00000000" w:rsidRPr="00000000">
        <w:rPr>
          <w:rtl w:val="0"/>
        </w:rPr>
        <w:t xml:space="preserve"> for supporting care transformation and the development of Learning Health Systems (LHSs) and High Reliability Organizations (HROs) is a </w:t>
      </w:r>
      <w:r w:rsidDel="00000000" w:rsidR="00000000" w:rsidRPr="00000000">
        <w:rPr>
          <w:rtl w:val="0"/>
        </w:rPr>
        <w:t xml:space="preserve">proven</w:t>
      </w:r>
      <w:r w:rsidDel="00000000" w:rsidR="00000000" w:rsidRPr="00000000">
        <w:rPr>
          <w:rtl w:val="0"/>
        </w:rPr>
        <w:t xml:space="preserve"> </w:t>
      </w:r>
      <w:r w:rsidDel="00000000" w:rsidR="00000000" w:rsidRPr="00000000">
        <w:rPr>
          <w:b w:val="1"/>
          <w:bCs w:val="1"/>
          <w:i w:val="1"/>
          <w:iCs w:val="1"/>
          <w:rtl w:val="0"/>
        </w:rPr>
        <w:t xml:space="preserve">collaborative</w:t>
      </w:r>
      <w:r w:rsidDel="00000000" w:rsidR="00000000" w:rsidRPr="00000000">
        <w:rPr>
          <w:rtl w:val="0"/>
        </w:rPr>
        <w:t xml:space="preserve"> method, framework, and toolset for reengineering healthcare workflows and </w:t>
      </w:r>
      <w:r w:rsidDel="00000000" w:rsidR="00000000" w:rsidRPr="00000000">
        <w:rPr>
          <w:i w:val="1"/>
          <w:iCs w:val="1"/>
          <w:rtl w:val="0"/>
        </w:rPr>
        <w:t xml:space="preserve">measurably</w:t>
      </w:r>
      <w:r w:rsidDel="00000000" w:rsidR="00000000" w:rsidRPr="00000000">
        <w:rPr>
          <w:rtl w:val="0"/>
        </w:rPr>
        <w:t xml:space="preserve"> improving outcomes. These leverage </w:t>
      </w:r>
      <w:r w:rsidDel="00000000" w:rsidR="00000000" w:rsidRPr="00000000">
        <w:rPr>
          <w:i w:val="1"/>
          <w:iCs w:val="1"/>
          <w:rtl w:val="0"/>
        </w:rPr>
        <w:t xml:space="preserve">open</w:t>
      </w:r>
      <w:r w:rsidDel="00000000" w:rsidR="00000000" w:rsidRPr="00000000">
        <w:rPr>
          <w:rtl w:val="0"/>
        </w:rPr>
        <w:t xml:space="preserve"> approaches, </w:t>
      </w:r>
      <w:r w:rsidDel="00000000" w:rsidR="00000000" w:rsidRPr="00000000">
        <w:rPr>
          <w:i w:val="1"/>
          <w:iCs w:val="1"/>
          <w:rtl w:val="0"/>
        </w:rPr>
        <w:t xml:space="preserve">emphasizing frontline staff engagement,</w:t>
      </w:r>
      <w:r w:rsidDel="00000000" w:rsidR="00000000" w:rsidRPr="00000000">
        <w:rPr>
          <w:rtl w:val="0"/>
        </w:rPr>
        <w:t xml:space="preserve"> developed and applied by 100s of people over the past 2 decades (see the </w:t>
      </w:r>
      <w:hyperlink r:id="rId7">
        <w:r w:rsidDel="00000000" w:rsidR="00000000" w:rsidRPr="00000000">
          <w:rPr>
            <w:color w:val="1155cc"/>
            <w:u w:val="single"/>
            <w:rtl w:val="0"/>
          </w:rPr>
          <w:t xml:space="preserve">ACT Collaboration Outreach deck</w:t>
        </w:r>
      </w:hyperlink>
      <w:r w:rsidDel="00000000" w:rsidR="00000000" w:rsidRPr="00000000">
        <w:rPr>
          <w:rtl w:val="0"/>
        </w:rPr>
        <w:t xml:space="preserve">).</w:t>
      </w:r>
    </w:p>
    <w:p w:rsidR="00000000" w:rsidDel="00000000" w:rsidP="00000000" w:rsidRDefault="00000000" w:rsidRPr="00000000" w14:paraId="0000000C">
      <w:pPr>
        <w:numPr>
          <w:ilvl w:val="0"/>
          <w:numId w:val="4"/>
        </w:numPr>
        <w:spacing w:after="200" w:before="0" w:lineRule="auto"/>
        <w:ind w:left="720" w:hanging="360"/>
      </w:pPr>
      <w:hyperlink r:id="rId8">
        <w:r w:rsidDel="00000000" w:rsidR="00000000" w:rsidRPr="00000000">
          <w:rPr>
            <w:b w:val="1"/>
            <w:bCs w:val="1"/>
            <w:color w:val="1155cc"/>
            <w:u w:val="single"/>
            <w:rtl w:val="0"/>
          </w:rPr>
          <w:t xml:space="preserve">Workflow Reengineering Worksheets and methods</w:t>
        </w:r>
      </w:hyperlink>
      <w:r w:rsidDel="00000000" w:rsidR="00000000" w:rsidRPr="00000000">
        <w:rPr>
          <w:b w:val="1"/>
          <w:bCs w:val="1"/>
          <w:rtl w:val="0"/>
        </w:rPr>
        <w:t xml:space="preserve">:</w:t>
      </w:r>
      <w:r w:rsidDel="00000000" w:rsidR="00000000" w:rsidRPr="00000000">
        <w:rPr>
          <w:rtl w:val="0"/>
        </w:rPr>
        <w:t xml:space="preserve"> These provide a structured approach for analyzing and improving workflows and associated information flows. They help organizations address key questions: "What is best practice?", "What is happening now in our organization?", and "What changes can we make to improve outcomes?" </w:t>
      </w:r>
    </w:p>
    <w:p w:rsidR="00000000" w:rsidDel="00000000" w:rsidP="00000000" w:rsidRDefault="00000000" w:rsidRPr="00000000" w14:paraId="0000000D">
      <w:pPr>
        <w:numPr>
          <w:ilvl w:val="0"/>
          <w:numId w:val="4"/>
        </w:numPr>
        <w:spacing w:after="200" w:before="0" w:line="256.7994545454545" w:lineRule="auto"/>
        <w:ind w:left="720" w:hanging="360"/>
        <w:rPr/>
      </w:pPr>
      <w:hyperlink r:id="rId9">
        <w:r w:rsidDel="00000000" w:rsidR="00000000" w:rsidRPr="00000000">
          <w:rPr>
            <w:b w:val="1"/>
            <w:bCs w:val="1"/>
            <w:color w:val="0563c1"/>
            <w:u w:val="single"/>
            <w:rtl w:val="0"/>
          </w:rPr>
          <w:t xml:space="preserve">A Reengineering Framework</w:t>
        </w:r>
      </w:hyperlink>
      <w:r w:rsidDel="00000000" w:rsidR="00000000" w:rsidRPr="00000000">
        <w:rPr>
          <w:rtl w:val="0"/>
        </w:rPr>
        <w:t xml:space="preserve">: The worksheets are based on an </w:t>
      </w:r>
      <w:r w:rsidDel="00000000" w:rsidR="00000000" w:rsidRPr="00000000">
        <w:rPr>
          <w:rtl w:val="0"/>
        </w:rPr>
        <w:t xml:space="preserve">ACT framework</w:t>
      </w:r>
      <w:r w:rsidDel="00000000" w:rsidR="00000000" w:rsidRPr="00000000">
        <w:rPr>
          <w:rtl w:val="0"/>
        </w:rPr>
        <w:t xml:space="preserve"> that organizations can use to identify opportunities to improve decisions and actions and achieve intended outcomes. Using a common framework fosters care transformation synergies </w:t>
      </w:r>
      <w:r w:rsidDel="00000000" w:rsidR="00000000" w:rsidRPr="00000000">
        <w:rPr>
          <w:i w:val="1"/>
          <w:iCs w:val="1"/>
          <w:rtl w:val="0"/>
        </w:rPr>
        <w:t xml:space="preserve">within</w:t>
      </w:r>
      <w:r w:rsidDel="00000000" w:rsidR="00000000" w:rsidRPr="00000000">
        <w:rPr>
          <w:rtl w:val="0"/>
        </w:rPr>
        <w:t xml:space="preserve"> an organization and </w:t>
      </w:r>
      <w:r w:rsidDel="00000000" w:rsidR="00000000" w:rsidRPr="00000000">
        <w:rPr>
          <w:i w:val="1"/>
          <w:iCs w:val="1"/>
          <w:rtl w:val="0"/>
        </w:rPr>
        <w:t xml:space="preserve">across</w:t>
      </w:r>
      <w:r w:rsidDel="00000000" w:rsidR="00000000" w:rsidRPr="00000000">
        <w:rPr>
          <w:rtl w:val="0"/>
        </w:rPr>
        <w:t xml:space="preserve"> organizations (see figure below). </w:t>
      </w:r>
    </w:p>
    <w:p w:rsidR="00000000" w:rsidDel="00000000" w:rsidP="00000000" w:rsidRDefault="00000000" w:rsidRPr="00000000" w14:paraId="0000000E">
      <w:pPr>
        <w:numPr>
          <w:ilvl w:val="0"/>
          <w:numId w:val="4"/>
        </w:numPr>
        <w:spacing w:after="160" w:line="256.7994545454545" w:lineRule="auto"/>
        <w:ind w:left="720" w:hanging="360"/>
      </w:pPr>
      <w:hyperlink r:id="rId10">
        <w:r w:rsidDel="00000000" w:rsidR="00000000" w:rsidRPr="00000000">
          <w:rPr>
            <w:b w:val="1"/>
            <w:bCs w:val="1"/>
            <w:color w:val="1155cc"/>
            <w:u w:val="single"/>
            <w:rtl w:val="0"/>
          </w:rPr>
          <w:t xml:space="preserve">Initiative Charter Template</w:t>
        </w:r>
      </w:hyperlink>
      <w:r w:rsidDel="00000000" w:rsidR="00000000" w:rsidRPr="00000000">
        <w:rPr>
          <w:b w:val="1"/>
          <w:bCs w:val="1"/>
          <w:rtl w:val="0"/>
        </w:rPr>
        <w:t xml:space="preserve">:</w:t>
      </w:r>
      <w:r w:rsidDel="00000000" w:rsidR="00000000" w:rsidRPr="00000000">
        <w:rPr>
          <w:rtl w:val="0"/>
        </w:rPr>
        <w:t xml:space="preserve"> Using this structured initiative overview frames and augments the value of using ACT workflow reengineering approaches. It fosters dialogue and consensus on initiative goals, helps drive a coordinated transformation approach, and supports collaboration with external partners working on related targets.</w:t>
      </w:r>
    </w:p>
    <w:tbl>
      <w:tblPr>
        <w:tblStyle w:val="Table1"/>
        <w:tblpPr w:leftFromText="180" w:rightFromText="180" w:topFromText="180" w:bottomFromText="180" w:vertAnchor="text" w:horzAnchor="text" w:tblpX="-225" w:tblpY="129.90398781516262"/>
        <w:tblW w:w="945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2820"/>
        <w:gridCol w:w="3075"/>
        <w:tblGridChange w:id="0">
          <w:tblGrid>
            <w:gridCol w:w="3555"/>
            <w:gridCol w:w="2820"/>
            <w:gridCol w:w="3075"/>
          </w:tblGrid>
        </w:tblGridChange>
      </w:tblGrid>
      <w:tr>
        <w:trPr>
          <w:cantSplit w:val="0"/>
          <w:trHeight w:val="358.02978515625" w:hRule="atLeast"/>
          <w:tblHeader w:val="0"/>
        </w:trPr>
        <w:tc>
          <w:tcPr>
            <w:tcBorders>
              <w:top w:color="ffffff" w:space="0" w:sz="6" w:val="single"/>
              <w:left w:color="ffffff" w:space="0" w:sz="6" w:val="single"/>
              <w:bottom w:color="ffffff" w:space="0" w:sz="24" w:val="single"/>
              <w:right w:color="ffffff" w:space="0" w:sz="6" w:val="single"/>
            </w:tcBorders>
            <w:tcMar>
              <w:top w:w="80.0" w:type="dxa"/>
              <w:left w:w="140.0" w:type="dxa"/>
              <w:bottom w:w="80.0" w:type="dxa"/>
              <w:right w:w="140.0" w:type="dxa"/>
            </w:tcMar>
          </w:tcPr>
          <w:p w:rsidR="00000000" w:rsidDel="00000000" w:rsidP="00000000" w:rsidRDefault="00000000" w:rsidRPr="00000000" w14:paraId="0000000F">
            <w:pPr>
              <w:jc w:val="center"/>
              <w:rPr>
                <w:b w:val="1"/>
                <w:bCs w:val="1"/>
                <w:color w:val="00b0f0"/>
                <w:sz w:val="18"/>
                <w:szCs w:val="18"/>
              </w:rPr>
            </w:pPr>
            <w:r w:rsidDel="00000000" w:rsidR="00000000" w:rsidRPr="00000000">
              <w:rPr>
                <w:b w:val="1"/>
                <w:bCs w:val="1"/>
                <w:color w:val="00b0f0"/>
                <w:sz w:val="18"/>
                <w:szCs w:val="18"/>
                <w:rtl w:val="0"/>
              </w:rPr>
              <w:t xml:space="preserve">ACT-enabled Workflow Reengineering</w:t>
            </w:r>
          </w:p>
        </w:tc>
        <w:tc>
          <w:tcPr>
            <w:tcBorders>
              <w:top w:color="ffffff" w:space="0" w:sz="6" w:val="single"/>
              <w:left w:color="ffffff" w:space="0" w:sz="6" w:val="single"/>
              <w:bottom w:color="ffffff" w:space="0" w:sz="24"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0">
            <w:pPr>
              <w:rPr>
                <w:b w:val="1"/>
                <w:bCs w:val="1"/>
                <w:sz w:val="18"/>
                <w:szCs w:val="18"/>
              </w:rPr>
            </w:pPr>
            <w:r w:rsidDel="00000000" w:rsidR="00000000" w:rsidRPr="00000000">
              <w:rPr>
                <w:b w:val="1"/>
                <w:bCs w:val="1"/>
                <w:sz w:val="18"/>
                <w:szCs w:val="18"/>
                <w:rtl w:val="0"/>
              </w:rPr>
              <w:t xml:space="preserve">Within Target</w:t>
            </w:r>
          </w:p>
        </w:tc>
        <w:tc>
          <w:tcPr>
            <w:tcBorders>
              <w:top w:color="ffffff" w:space="0" w:sz="6" w:val="single"/>
              <w:left w:color="ffffff" w:space="0" w:sz="6" w:val="single"/>
              <w:bottom w:color="ffffff" w:space="0" w:sz="24"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1">
            <w:pPr>
              <w:rPr>
                <w:b w:val="1"/>
                <w:bCs w:val="1"/>
                <w:sz w:val="18"/>
                <w:szCs w:val="18"/>
              </w:rPr>
            </w:pPr>
            <w:r w:rsidDel="00000000" w:rsidR="00000000" w:rsidRPr="00000000">
              <w:rPr>
                <w:b w:val="1"/>
                <w:bCs w:val="1"/>
                <w:sz w:val="18"/>
                <w:szCs w:val="18"/>
                <w:rtl w:val="0"/>
              </w:rPr>
              <w:t xml:space="preserve">Across Targets</w:t>
            </w:r>
          </w:p>
        </w:tc>
      </w:tr>
      <w:tr>
        <w:trPr>
          <w:cantSplit w:val="0"/>
          <w:trHeight w:val="375" w:hRule="atLeast"/>
          <w:tblHeader w:val="0"/>
        </w:trPr>
        <w:tc>
          <w:tcPr>
            <w:tcBorders>
              <w:top w:color="ffffff" w:space="0" w:sz="24" w:val="single"/>
              <w:left w:color="ffffff" w:space="0" w:sz="6" w:val="single"/>
              <w:bottom w:color="ffffff" w:space="0" w:sz="6"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2">
            <w:pPr>
              <w:rPr>
                <w:b w:val="1"/>
                <w:bCs w:val="1"/>
                <w:sz w:val="18"/>
                <w:szCs w:val="18"/>
              </w:rPr>
            </w:pPr>
            <w:r w:rsidDel="00000000" w:rsidR="00000000" w:rsidRPr="00000000">
              <w:rPr>
                <w:b w:val="1"/>
                <w:bCs w:val="1"/>
                <w:sz w:val="18"/>
                <w:szCs w:val="18"/>
                <w:rtl w:val="0"/>
              </w:rPr>
              <w:t xml:space="preserve">Within Organization</w:t>
            </w:r>
          </w:p>
        </w:tc>
        <w:tc>
          <w:tcPr>
            <w:tcBorders>
              <w:top w:color="ffffff" w:space="0" w:sz="24" w:val="single"/>
              <w:left w:color="ffffff" w:space="0" w:sz="6" w:val="single"/>
              <w:bottom w:color="ffffff" w:space="0" w:sz="6"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3">
            <w:pPr>
              <w:rPr>
                <w:sz w:val="16"/>
                <w:szCs w:val="16"/>
              </w:rPr>
            </w:pPr>
            <w:r w:rsidDel="00000000" w:rsidR="00000000" w:rsidRPr="00000000">
              <w:rPr>
                <w:sz w:val="16"/>
                <w:szCs w:val="16"/>
                <w:rtl w:val="0"/>
              </w:rPr>
              <w:t xml:space="preserve">Targeted Transformation Strategy</w:t>
            </w:r>
          </w:p>
        </w:tc>
        <w:tc>
          <w:tcPr>
            <w:tcBorders>
              <w:top w:color="ffffff" w:space="0" w:sz="24" w:val="single"/>
              <w:left w:color="ffffff" w:space="0" w:sz="6" w:val="single"/>
              <w:bottom w:color="ffffff" w:space="0" w:sz="6"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4">
            <w:pPr>
              <w:rPr>
                <w:sz w:val="16"/>
                <w:szCs w:val="16"/>
              </w:rPr>
            </w:pPr>
            <w:r w:rsidDel="00000000" w:rsidR="00000000" w:rsidRPr="00000000">
              <w:rPr>
                <w:sz w:val="16"/>
                <w:szCs w:val="16"/>
                <w:rtl w:val="0"/>
              </w:rPr>
              <w:t xml:space="preserve">Enterprise Transformation Approach</w:t>
            </w:r>
          </w:p>
        </w:tc>
      </w:tr>
      <w:tr>
        <w:trPr>
          <w:cantSplit w:val="0"/>
          <w:trHeight w:val="343.02978515625" w:hRule="atLeast"/>
          <w:tblHeader w:val="0"/>
        </w:trPr>
        <w:tc>
          <w:tcPr>
            <w:tcBorders>
              <w:top w:color="ffffff" w:space="0" w:sz="6" w:val="single"/>
              <w:left w:color="ffffff" w:space="0" w:sz="6" w:val="single"/>
              <w:bottom w:color="ffffff" w:space="0" w:sz="6"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5">
            <w:pPr>
              <w:rPr>
                <w:b w:val="1"/>
                <w:bCs w:val="1"/>
                <w:sz w:val="18"/>
                <w:szCs w:val="18"/>
              </w:rPr>
            </w:pPr>
            <w:r w:rsidDel="00000000" w:rsidR="00000000" w:rsidRPr="00000000">
              <w:rPr>
                <w:b w:val="1"/>
                <w:bCs w:val="1"/>
                <w:sz w:val="18"/>
                <w:szCs w:val="18"/>
                <w:rtl w:val="0"/>
              </w:rPr>
              <w:t xml:space="preserve">Across Organizations</w:t>
            </w:r>
          </w:p>
        </w:tc>
        <w:tc>
          <w:tcPr>
            <w:tcBorders>
              <w:top w:color="ffffff" w:space="0" w:sz="6" w:val="single"/>
              <w:left w:color="ffffff" w:space="0" w:sz="6" w:val="single"/>
              <w:bottom w:color="ffffff" w:space="0" w:sz="6"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6">
            <w:pPr>
              <w:rPr>
                <w:sz w:val="16"/>
                <w:szCs w:val="16"/>
              </w:rPr>
            </w:pPr>
            <w:r w:rsidDel="00000000" w:rsidR="00000000" w:rsidRPr="00000000">
              <w:rPr>
                <w:sz w:val="16"/>
                <w:szCs w:val="16"/>
                <w:rtl w:val="0"/>
              </w:rPr>
              <w:t xml:space="preserve">Learning Communities for Targets</w:t>
            </w:r>
          </w:p>
        </w:tc>
        <w:tc>
          <w:tcPr>
            <w:tcBorders>
              <w:top w:color="ffffff" w:space="0" w:sz="6" w:val="single"/>
              <w:left w:color="ffffff" w:space="0" w:sz="6" w:val="single"/>
              <w:bottom w:color="ffffff" w:space="0" w:sz="6" w:val="single"/>
              <w:right w:color="ffffff" w:space="0" w:sz="6" w:val="single"/>
            </w:tcBorders>
            <w:shd w:fill="e8e8e8" w:val="clear"/>
            <w:tcMar>
              <w:top w:w="80.0" w:type="dxa"/>
              <w:left w:w="140.0" w:type="dxa"/>
              <w:bottom w:w="80.0" w:type="dxa"/>
              <w:right w:w="140.0" w:type="dxa"/>
            </w:tcMar>
          </w:tcPr>
          <w:p w:rsidR="00000000" w:rsidDel="00000000" w:rsidP="00000000" w:rsidRDefault="00000000" w:rsidRPr="00000000" w14:paraId="00000017">
            <w:pPr>
              <w:rPr>
                <w:sz w:val="16"/>
                <w:szCs w:val="16"/>
              </w:rPr>
            </w:pPr>
            <w:r w:rsidDel="00000000" w:rsidR="00000000" w:rsidRPr="00000000">
              <w:rPr>
                <w:sz w:val="16"/>
                <w:szCs w:val="16"/>
                <w:rtl w:val="0"/>
              </w:rPr>
              <w:t xml:space="preserve">Ecosystem Enhancement</w:t>
            </w:r>
          </w:p>
        </w:tc>
      </w:tr>
    </w:tbl>
    <w:p w:rsidR="00000000" w:rsidDel="00000000" w:rsidP="00000000" w:rsidRDefault="00000000" w:rsidRPr="00000000" w14:paraId="00000018">
      <w:pPr>
        <w:spacing w:after="160" w:line="256.7994545454545"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3"/>
        </w:numPr>
        <w:spacing w:after="160" w:line="256.7994545454545" w:lineRule="auto"/>
        <w:ind w:left="720" w:hanging="360"/>
        <w:rPr>
          <w:rFonts w:ascii="Calibri" w:cs="Calibri" w:eastAsia="Calibri" w:hAnsi="Calibri"/>
        </w:rPr>
      </w:pPr>
      <w:r w:rsidDel="00000000" w:rsidR="00000000" w:rsidRPr="00000000">
        <w:rPr>
          <w:b w:val="1"/>
          <w:bCs w:val="1"/>
          <w:rtl w:val="0"/>
        </w:rPr>
        <w:t xml:space="preserve">Collaboration and Networking: </w:t>
      </w:r>
      <w:r w:rsidDel="00000000" w:rsidR="00000000" w:rsidRPr="00000000">
        <w:rPr>
          <w:rtl w:val="0"/>
        </w:rPr>
        <w:t xml:space="preserve"> Organizations can leverage their connection with the</w:t>
      </w:r>
      <w:hyperlink r:id="rId11">
        <w:r w:rsidDel="00000000" w:rsidR="00000000" w:rsidRPr="00000000">
          <w:rPr>
            <w:rtl w:val="0"/>
          </w:rPr>
          <w:t xml:space="preserve"> </w:t>
        </w:r>
      </w:hyperlink>
      <w:hyperlink r:id="rId12">
        <w:r w:rsidDel="00000000" w:rsidR="00000000" w:rsidRPr="00000000">
          <w:rPr>
            <w:color w:val="0563c1"/>
            <w:u w:val="single"/>
            <w:rtl w:val="0"/>
          </w:rPr>
          <w:t xml:space="preserve">ACT Steering Committee and Network</w:t>
        </w:r>
      </w:hyperlink>
      <w:r w:rsidDel="00000000" w:rsidR="00000000" w:rsidRPr="00000000">
        <w:rPr>
          <w:rtl w:val="0"/>
        </w:rPr>
        <w:t xml:space="preserve"> to crowdsource solutions, disseminate successful innovations, identify potential collaborators to address unmet needs, and accelerate learning.  Participants include key stakeholders - CMOs, CMIOs, HL7 board chair and LHS Workgroup, EHR vendors, patient partners and / advocates, Quality Improvement / HRO / LHS / digital health / business culture experts. ACT uses</w:t>
      </w:r>
      <w:hyperlink r:id="rId13">
        <w:r w:rsidDel="00000000" w:rsidR="00000000" w:rsidRPr="00000000">
          <w:rPr>
            <w:color w:val="1155cc"/>
            <w:u w:val="single"/>
            <w:rtl w:val="0"/>
          </w:rPr>
          <w:t xml:space="preserve"> Collaboration Whiteboards</w:t>
        </w:r>
      </w:hyperlink>
      <w:r w:rsidDel="00000000" w:rsidR="00000000" w:rsidRPr="00000000">
        <w:rPr>
          <w:rtl w:val="0"/>
        </w:rPr>
        <w:t xml:space="preserve"> and a</w:t>
      </w:r>
      <w:hyperlink r:id="rId14">
        <w:r w:rsidDel="00000000" w:rsidR="00000000" w:rsidRPr="00000000">
          <w:rPr>
            <w:color w:val="1155cc"/>
            <w:u w:val="single"/>
            <w:rtl w:val="0"/>
          </w:rPr>
          <w:t xml:space="preserve"> Transformation Initiative Catalog</w:t>
        </w:r>
      </w:hyperlink>
      <w:r w:rsidDel="00000000" w:rsidR="00000000" w:rsidRPr="00000000">
        <w:rPr>
          <w:rtl w:val="0"/>
        </w:rPr>
        <w:t xml:space="preserve"> to foster these exchanges, and has provided recommendations on how the US government can leverage ACT via </w:t>
      </w:r>
      <w:hyperlink r:id="rId15">
        <w:r w:rsidDel="00000000" w:rsidR="00000000" w:rsidRPr="00000000">
          <w:rPr>
            <w:color w:val="1155cc"/>
            <w:u w:val="single"/>
            <w:rtl w:val="0"/>
          </w:rPr>
          <w:t xml:space="preserve">ACT’s response</w:t>
        </w:r>
      </w:hyperlink>
      <w:r w:rsidDel="00000000" w:rsidR="00000000" w:rsidRPr="00000000">
        <w:rPr>
          <w:rtl w:val="0"/>
        </w:rPr>
        <w:t xml:space="preserve"> to the 2025 </w:t>
      </w:r>
      <w:hyperlink r:id="rId16">
        <w:r w:rsidDel="00000000" w:rsidR="00000000" w:rsidRPr="00000000">
          <w:rPr>
            <w:color w:val="1155cc"/>
            <w:u w:val="single"/>
            <w:rtl w:val="0"/>
          </w:rPr>
          <w:t xml:space="preserve">CMS RFI</w:t>
        </w:r>
      </w:hyperlink>
      <w:r w:rsidDel="00000000" w:rsidR="00000000" w:rsidRPr="00000000">
        <w:rPr>
          <w:rtl w:val="0"/>
        </w:rPr>
        <w:t xml:space="preserve"> on the Health Technology Ecosystem.</w:t>
      </w:r>
    </w:p>
    <w:p w:rsidR="00000000" w:rsidDel="00000000" w:rsidP="00000000" w:rsidRDefault="00000000" w:rsidRPr="00000000" w14:paraId="0000001A">
      <w:pPr>
        <w:spacing w:after="200" w:line="256.7994545454545" w:lineRule="auto"/>
        <w:rPr/>
      </w:pPr>
      <w:hyperlink r:id="rId17">
        <w:r w:rsidDel="00000000" w:rsidR="00000000" w:rsidRPr="00000000">
          <w:rPr>
            <w:color w:val="1155cc"/>
            <w:u w:val="single"/>
            <w:rtl w:val="0"/>
          </w:rPr>
          <w:t xml:space="preserve">Here</w:t>
        </w:r>
      </w:hyperlink>
      <w:r w:rsidDel="00000000" w:rsidR="00000000" w:rsidRPr="00000000">
        <w:rPr>
          <w:rtl w:val="0"/>
        </w:rPr>
        <w:t xml:space="preserve"> is an example of all the ACT offerings above being put into action to drive health system transformation. This poster is being featured by </w:t>
      </w:r>
      <w:hyperlink r:id="rId18">
        <w:r w:rsidDel="00000000" w:rsidR="00000000" w:rsidRPr="00000000">
          <w:rPr>
            <w:color w:val="1155cc"/>
            <w:u w:val="single"/>
            <w:rtl w:val="0"/>
          </w:rPr>
          <w:t xml:space="preserve">The Joint Commission</w:t>
        </w:r>
      </w:hyperlink>
      <w:r w:rsidDel="00000000" w:rsidR="00000000" w:rsidRPr="00000000">
        <w:rPr>
          <w:rtl w:val="0"/>
        </w:rPr>
        <w:t xml:space="preserve"> as an exemplary approach to care transformation.</w:t>
      </w: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sz w:val="24"/>
          <w:szCs w:val="24"/>
          <w:rtl w:val="0"/>
        </w:rPr>
        <w:t xml:space="preserve">Call for Collaboration</w:t>
      </w:r>
      <w:r w:rsidDel="00000000" w:rsidR="00000000" w:rsidRPr="00000000">
        <w:rPr>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rtl w:val="0"/>
        </w:rPr>
        <w:t xml:space="preserve">ACT welcomes mutually beneficial engagement with organizations and individuals. Opportunities for ACT support in addressing clinical and business priorities include:</w:t>
      </w:r>
    </w:p>
    <w:p w:rsidR="00000000" w:rsidDel="00000000" w:rsidP="00000000" w:rsidRDefault="00000000" w:rsidRPr="00000000" w14:paraId="0000001E">
      <w:pPr>
        <w:numPr>
          <w:ilvl w:val="0"/>
          <w:numId w:val="1"/>
        </w:numPr>
        <w:spacing w:after="200" w:lineRule="auto"/>
        <w:ind w:left="720" w:hanging="360"/>
        <w:rPr/>
      </w:pPr>
      <w:r w:rsidDel="00000000" w:rsidR="00000000" w:rsidRPr="00000000">
        <w:rPr>
          <w:b w:val="1"/>
          <w:bCs w:val="1"/>
          <w:rtl w:val="0"/>
        </w:rPr>
        <w:t xml:space="preserve">Enhance approach to achieving desired outcomes</w:t>
      </w:r>
      <w:r w:rsidDel="00000000" w:rsidR="00000000" w:rsidRPr="00000000">
        <w:rPr>
          <w:rtl w:val="0"/>
        </w:rPr>
        <w:t xml:space="preserve"> by using ACT Workflow Reengineering Framework, Worksheets, and Collaborations; e.g., start with target-focused pilot, then scale to more settings and targets.</w:t>
      </w:r>
      <w:r w:rsidDel="00000000" w:rsidR="00000000" w:rsidRPr="00000000">
        <w:rPr>
          <w:rtl w:val="0"/>
        </w:rPr>
      </w:r>
    </w:p>
    <w:p w:rsidR="00000000" w:rsidDel="00000000" w:rsidP="00000000" w:rsidRDefault="00000000" w:rsidRPr="00000000" w14:paraId="0000001F">
      <w:pPr>
        <w:numPr>
          <w:ilvl w:val="0"/>
          <w:numId w:val="1"/>
        </w:numPr>
        <w:spacing w:after="200" w:before="0" w:line="256.7994545454545" w:lineRule="auto"/>
        <w:ind w:left="720" w:hanging="360"/>
      </w:pPr>
      <w:r w:rsidDel="00000000" w:rsidR="00000000" w:rsidRPr="00000000">
        <w:rPr>
          <w:b w:val="1"/>
          <w:bCs w:val="1"/>
          <w:rtl w:val="0"/>
        </w:rPr>
        <w:t xml:space="preserve">Create or improve target focused learning communities </w:t>
      </w:r>
      <w:r w:rsidDel="00000000" w:rsidR="00000000" w:rsidRPr="00000000">
        <w:rPr>
          <w:rtl w:val="0"/>
        </w:rPr>
        <w:t xml:space="preserve">using ACT frameworks and methods for accelerating valuable cross-fertilization.</w:t>
      </w:r>
    </w:p>
    <w:p w:rsidR="00000000" w:rsidDel="00000000" w:rsidP="00000000" w:rsidRDefault="00000000" w:rsidRPr="00000000" w14:paraId="00000020">
      <w:pPr>
        <w:numPr>
          <w:ilvl w:val="0"/>
          <w:numId w:val="1"/>
        </w:numPr>
        <w:spacing w:after="200" w:before="0" w:line="256.7994545454545" w:lineRule="auto"/>
        <w:ind w:left="720" w:hanging="360"/>
      </w:pPr>
      <w:r w:rsidDel="00000000" w:rsidR="00000000" w:rsidRPr="00000000">
        <w:rPr>
          <w:b w:val="1"/>
          <w:bCs w:val="1"/>
          <w:rtl w:val="0"/>
        </w:rPr>
        <w:t xml:space="preserve">Leverage the </w:t>
      </w:r>
      <w:hyperlink r:id="rId19">
        <w:r w:rsidDel="00000000" w:rsidR="00000000" w:rsidRPr="00000000">
          <w:rPr>
            <w:b w:val="1"/>
            <w:bCs w:val="1"/>
            <w:color w:val="1155cc"/>
            <w:u w:val="single"/>
            <w:rtl w:val="0"/>
          </w:rPr>
          <w:t xml:space="preserve">growing network</w:t>
        </w:r>
      </w:hyperlink>
      <w:r w:rsidDel="00000000" w:rsidR="00000000" w:rsidRPr="00000000">
        <w:rPr>
          <w:b w:val="1"/>
          <w:bCs w:val="1"/>
          <w:rtl w:val="0"/>
        </w:rPr>
        <w:t xml:space="preserve"> of ACT Collaborators</w:t>
      </w:r>
      <w:r w:rsidDel="00000000" w:rsidR="00000000" w:rsidRPr="00000000">
        <w:rPr>
          <w:rtl w:val="0"/>
        </w:rPr>
        <w:t xml:space="preserve"> to access and improve key ingredients for transformation success, e.g., health IT/AI strategies, tools, and standards; quality improvement methods and resources; public health and payer perspectives.</w:t>
      </w:r>
      <w:r w:rsidDel="00000000" w:rsidR="00000000" w:rsidRPr="00000000">
        <w:rPr>
          <w:rtl w:val="0"/>
        </w:rPr>
      </w:r>
    </w:p>
    <w:p w:rsidR="00000000" w:rsidDel="00000000" w:rsidP="00000000" w:rsidRDefault="00000000" w:rsidRPr="00000000" w14:paraId="00000021">
      <w:pPr>
        <w:numPr>
          <w:ilvl w:val="0"/>
          <w:numId w:val="1"/>
        </w:numPr>
        <w:spacing w:after="200" w:lineRule="auto"/>
        <w:ind w:left="720" w:hanging="360"/>
      </w:pPr>
      <w:r w:rsidDel="00000000" w:rsidR="00000000" w:rsidRPr="00000000">
        <w:rPr>
          <w:b w:val="1"/>
          <w:bCs w:val="1"/>
          <w:rtl w:val="0"/>
        </w:rPr>
        <w:t xml:space="preserve">Leverage ACT activities as a ‘learning lab’ for trainees</w:t>
      </w:r>
      <w:r w:rsidDel="00000000" w:rsidR="00000000" w:rsidRPr="00000000">
        <w:rPr>
          <w:rtl w:val="0"/>
        </w:rPr>
        <w:t xml:space="preserve">, building on ACT’s prior work supporting education and training.</w:t>
      </w:r>
      <w:r w:rsidDel="00000000" w:rsidR="00000000" w:rsidRPr="00000000">
        <w:rPr>
          <w:rtl w:val="0"/>
        </w:rPr>
      </w:r>
    </w:p>
    <w:p w:rsidR="00000000" w:rsidDel="00000000" w:rsidP="00000000" w:rsidRDefault="00000000" w:rsidRPr="00000000" w14:paraId="00000022">
      <w:pPr>
        <w:spacing w:after="0" w:before="0" w:lineRule="auto"/>
        <w:jc w:val="center"/>
        <w:rPr>
          <w:i w:val="1"/>
          <w:iCs w:val="1"/>
          <w:color w:val="0000ff"/>
          <w:sz w:val="26"/>
          <w:szCs w:val="26"/>
        </w:rPr>
      </w:pPr>
      <w:r w:rsidDel="00000000" w:rsidR="00000000" w:rsidRPr="00000000">
        <w:rPr>
          <w:rtl w:val="0"/>
        </w:rPr>
      </w:r>
    </w:p>
    <w:p w:rsidR="00000000" w:rsidDel="00000000" w:rsidP="00000000" w:rsidRDefault="00000000" w:rsidRPr="00000000" w14:paraId="00000023">
      <w:pPr>
        <w:spacing w:after="0" w:before="0" w:lineRule="auto"/>
        <w:jc w:val="center"/>
        <w:rPr/>
      </w:pPr>
      <w:r w:rsidDel="00000000" w:rsidR="00000000" w:rsidRPr="00000000">
        <w:rPr>
          <w:i w:val="1"/>
          <w:iCs w:val="1"/>
          <w:color w:val="0000ff"/>
          <w:sz w:val="26"/>
          <w:szCs w:val="26"/>
          <w:rtl w:val="0"/>
        </w:rPr>
        <w:t xml:space="preserve">We’d love to learn more about your strategic goals and challenges, and explore opportunities to collaborate in mutually beneficial ways!</w:t>
      </w: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before="200" w:lineRule="auto"/>
      <w:jc w:val="center"/>
      <w:rPr>
        <w:i w:val="1"/>
        <w:iCs w:val="1"/>
        <w:color w:val="0b5394"/>
        <w:sz w:val="24"/>
        <w:szCs w:val="24"/>
      </w:rPr>
    </w:pPr>
    <w:r w:rsidDel="00000000" w:rsidR="00000000" w:rsidRPr="00000000">
      <w:rPr>
        <w:i w:val="1"/>
        <w:iCs w:val="1"/>
        <w:color w:val="0b5394"/>
        <w:sz w:val="24"/>
        <w:szCs w:val="24"/>
        <w:rtl w:val="0"/>
      </w:rPr>
      <w:t xml:space="preserve">ACT Vision: Best Healthcare for Everyone, Everywhere</w:t>
    </w:r>
  </w:p>
  <w:p w:rsidR="00000000" w:rsidDel="00000000" w:rsidP="00000000" w:rsidRDefault="00000000" w:rsidRPr="00000000" w14:paraId="00000025">
    <w:pPr>
      <w:jc w:val="right"/>
      <w:rPr>
        <w:i w:val="1"/>
        <w:iCs w:val="1"/>
        <w:color w:val="0b5394"/>
      </w:rPr>
    </w:pPr>
    <w:r w:rsidDel="00000000" w:rsidR="00000000" w:rsidRPr="00000000">
      <w:rPr>
        <w:i w:val="1"/>
        <w:iCs w:val="1"/>
        <w:color w:val="0b539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7">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ACT offerings are available via organizations participating in the </w:t>
      </w:r>
      <w:hyperlink r:id="rId1">
        <w:r w:rsidDel="00000000" w:rsidR="00000000" w:rsidRPr="00000000">
          <w:rPr>
            <w:color w:val="1155cc"/>
            <w:sz w:val="18"/>
            <w:szCs w:val="18"/>
            <w:u w:val="single"/>
            <w:rtl w:val="0"/>
          </w:rPr>
          <w:t xml:space="preserve">ACT Steering Committee and Network</w:t>
        </w:r>
      </w:hyperlink>
      <w:r w:rsidDel="00000000" w:rsidR="00000000" w:rsidRPr="00000000">
        <w:rPr>
          <w:sz w:val="18"/>
          <w:szCs w:val="18"/>
          <w:rtl w:val="0"/>
        </w:rPr>
        <w:t xml:space="preserve">. </w:t>
      </w:r>
      <w:hyperlink r:id="rId2">
        <w:r w:rsidDel="00000000" w:rsidR="00000000" w:rsidRPr="00000000">
          <w:rPr>
            <w:color w:val="1155cc"/>
            <w:sz w:val="18"/>
            <w:szCs w:val="18"/>
            <w:u w:val="single"/>
            <w:rtl w:val="0"/>
          </w:rPr>
          <w:t xml:space="preserve">Contact Jerry Osheroff</w:t>
        </w:r>
      </w:hyperlink>
      <w:r w:rsidDel="00000000" w:rsidR="00000000" w:rsidRPr="00000000">
        <w:rPr>
          <w:sz w:val="18"/>
          <w:szCs w:val="18"/>
          <w:rtl w:val="0"/>
        </w:rPr>
        <w:t xml:space="preserve"> (ACT Founder and Steering Committee Chair) for further information.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cs.google.com/spreadsheets/d/1veoE_Y58L7K9XgqGP1LIo-FUPP8Nb7tweL093eVCpX4/edit?gid=0#gid=0" TargetMode="External"/><Relationship Id="rId10" Type="http://schemas.openxmlformats.org/officeDocument/2006/relationships/hyperlink" Target="https://docs.google.com/presentation/d/1BhJ86qXiy81iX0oODIV5m1ComZaYZCFw/edit?slide=id.p21#slide=id.p21" TargetMode="External"/><Relationship Id="rId21" Type="http://schemas.openxmlformats.org/officeDocument/2006/relationships/footer" Target="footer1.xml"/><Relationship Id="rId13" Type="http://schemas.openxmlformats.org/officeDocument/2006/relationships/hyperlink" Target="https://docs.google.com/presentation/d/1BhJ86qXiy81iX0oODIV5m1ComZaYZCFw/edit?slide=id.p22#slide=id.p22" TargetMode="External"/><Relationship Id="rId12" Type="http://schemas.openxmlformats.org/officeDocument/2006/relationships/hyperlink" Target="https://docs.google.com/spreadsheets/d/1veoE_Y58L7K9XgqGP1LIo-FUPP8Nb7tweL093eVCpX4/edit?gid=0#gi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ive.google.com/uc?export=download&amp;id=1AgMjlRig0QVbe-bAuwbq_ofhqRn9c-8E" TargetMode="External"/><Relationship Id="rId15" Type="http://schemas.openxmlformats.org/officeDocument/2006/relationships/hyperlink" Target="https://www.regulations.gov/comment/CMS-2025-0050-0258" TargetMode="External"/><Relationship Id="rId14" Type="http://schemas.openxmlformats.org/officeDocument/2006/relationships/hyperlink" Target="https://docs.google.com/presentation/d/1BhJ86qXiy81iX0oODIV5m1ComZaYZCFw/edit?slide=id.p45#slide=id.p45" TargetMode="External"/><Relationship Id="rId17" Type="http://schemas.openxmlformats.org/officeDocument/2006/relationships/hyperlink" Target="https://docs.google.com/presentation/d/1QPckx6x6TyNNBHzQDsacDDtqEP5pgl-A/export?format=pptx" TargetMode="External"/><Relationship Id="rId16" Type="http://schemas.openxmlformats.org/officeDocument/2006/relationships/hyperlink" Target="https://www.regulations.gov/document/CMS-2025-0050-0031" TargetMode="External"/><Relationship Id="rId5" Type="http://schemas.openxmlformats.org/officeDocument/2006/relationships/numbering" Target="numbering.xml"/><Relationship Id="rId19" Type="http://schemas.openxmlformats.org/officeDocument/2006/relationships/hyperlink" Target="https://docs.google.com/spreadsheets/d/1veoE_Y58L7K9XgqGP1LIo-FUPP8Nb7tweL093eVCpX4/edit?gid=0#gid=0" TargetMode="External"/><Relationship Id="rId6" Type="http://schemas.openxmlformats.org/officeDocument/2006/relationships/styles" Target="styles.xml"/><Relationship Id="rId18" Type="http://schemas.openxmlformats.org/officeDocument/2006/relationships/hyperlink" Target="https://www.jointcommission.org/who-we-are/" TargetMode="External"/><Relationship Id="rId7" Type="http://schemas.openxmlformats.org/officeDocument/2006/relationships/hyperlink" Target="https://docs.google.com/presentation/d/1BhJ86qXiy81iX0oODIV5m1ComZaYZCFw/export?format=pptx" TargetMode="External"/><Relationship Id="rId8" Type="http://schemas.openxmlformats.org/officeDocument/2006/relationships/hyperlink" Target="https://docs.google.com/document/d/1tcDu1gvGpSTJXua3mnlcU9nlYMSolwSDTqhpWAJAvv4/edit?tab=t.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spreadsheets/d/1veoE_Y58L7K9XgqGP1LIo-FUPP8Nb7tweL093eVCpX4/edit?pli=1&amp;gid=0#gid=0" TargetMode="External"/><Relationship Id="rId2" Type="http://schemas.openxmlformats.org/officeDocument/2006/relationships/hyperlink" Target="mailto:josheroff@tmit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