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500"/>
        <w:jc w:val="center"/>
        <w:tblLayout w:type="fixed"/>
        <w:tblLook w:firstColumn="1" w:firstRow="1" w:lastColumn="0" w:lastRow="0" w:noHBand="0" w:noVBand="1" w:val="04A0"/>
        <w:tblInd w:w="0" w:type="dxa"/>
      </w:tblPr>
      <w:tblGrid>
        <w:gridCol w:w="7000"/>
        <w:gridCol w:w="2500"/>
      </w:tblGrid>
      <w:tr>
        <w:tc>
          <w:tcPr>
            <w:tcW w:type="dxa" w:w="7000"/>
            <w:tcMar>
              <w:top w:w="0" w:type="dxa"/>
              <w:start w:w="0" w:type="dxa"/>
              <w:bottom w:w="40" w:type="dxa"/>
              <w:end w:w="0" w:type="dxa"/>
            </w:tcMar>
            <w:vAlign w:val="center"/>
          </w:tcPr>
          <w:p>
            <w:pPr>
              <w:spacing w:after="40"/>
            </w:pPr>
            <w:r>
              <w:rPr>
                <w:rFonts w:ascii="Aptos" w:hAnsi="Aptos"/>
                <w:b/>
                <w:i w:val="0"/>
                <w:color w:val="B58A3A"/>
                <w:sz w:val="19"/>
              </w:rPr>
              <w:t>OPÉRATION DE NOËL</w:t>
            </w:r>
          </w:p>
          <w:p>
            <w:pPr>
              <w:spacing w:after="40"/>
            </w:pPr>
            <w:r>
              <w:rPr>
                <w:rFonts w:ascii="Aptos" w:hAnsi="Aptos"/>
                <w:b/>
                <w:i w:val="0"/>
                <w:color w:val="173C34"/>
                <w:sz w:val="48"/>
              </w:rPr>
              <w:t>La procédure en 5 étapes</w:t>
            </w:r>
          </w:p>
          <w:p>
            <w:pPr>
              <w:spacing w:after="80"/>
            </w:pPr>
            <w:r>
              <w:rPr>
                <w:rFonts w:ascii="Aptos" w:hAnsi="Aptos"/>
                <w:b w:val="0"/>
                <w:i w:val="0"/>
                <w:color w:val="5D6964"/>
                <w:sz w:val="22"/>
              </w:rPr>
              <w:t>Boules en bois personnalisées pour APE, APEL, écoles et associations</w:t>
            </w:r>
          </w:p>
        </w:tc>
        <w:tc>
          <w:tcPr>
            <w:tcW w:type="dxa" w:w="2500"/>
            <w:tcMar>
              <w:top w:w="0" w:type="dxa"/>
              <w:start w:w="0" w:type="dxa"/>
              <w:bottom w:w="40" w:type="dxa"/>
              <w:end w:w="0" w:type="dxa"/>
            </w:tcMar>
            <w:vAlign w:val="center"/>
          </w:tcPr>
          <w:p>
            <w:pPr>
              <w:jc w:val="right"/>
            </w:pPr>
            <w:r>
              <w:drawing>
                <wp:inline xmlns:a="http://schemas.openxmlformats.org/drawingml/2006/main" xmlns:pic="http://schemas.openxmlformats.org/drawingml/2006/picture">
                  <wp:extent cx="846000" cy="856455"/>
                  <wp:docPr id="1" name="Picture 1"/>
                  <wp:cNvGraphicFramePr>
                    <a:graphicFrameLocks noChangeAspect="1"/>
                  </wp:cNvGraphicFramePr>
                  <a:graphic>
                    <a:graphicData uri="http://schemas.openxmlformats.org/drawingml/2006/picture">
                      <pic:pic>
                        <pic:nvPicPr>
                          <pic:cNvPr id="0" name="image5.jpeg"/>
                          <pic:cNvPicPr/>
                        </pic:nvPicPr>
                        <pic:blipFill>
                          <a:blip r:embed="rId10"/>
                          <a:stretch>
                            <a:fillRect/>
                          </a:stretch>
                        </pic:blipFill>
                        <pic:spPr>
                          <a:xfrm>
                            <a:off x="0" y="0"/>
                            <a:ext cx="846000" cy="856455"/>
                          </a:xfrm>
                          <a:prstGeom prst="rect"/>
                        </pic:spPr>
                      </pic:pic>
                    </a:graphicData>
                  </a:graphic>
                </wp:inline>
              </w:drawing>
            </w:r>
          </w:p>
        </w:tc>
      </w:tr>
    </w:tbl>
    <w:tbl>
      <w:tblPr>
        <w:tblW w:type="dxa" w:w="9500"/>
        <w:jc w:val="center"/>
        <w:tblLayout w:type="fixed"/>
        <w:tblLook w:firstColumn="1" w:firstRow="1" w:lastColumn="0" w:lastRow="0" w:noHBand="0" w:noVBand="1" w:val="04A0"/>
        <w:tblInd w:w="0" w:type="dxa"/>
      </w:tblPr>
      <w:tblGrid>
        <w:gridCol w:w="3166"/>
        <w:gridCol w:w="3167"/>
        <w:gridCol w:w="3167"/>
      </w:tblGrid>
      <w:tr>
        <w:tc>
          <w:tcPr>
            <w:tcW w:type="dxa" w:w="3166"/>
            <w:shd w:fill="173C34"/>
            <w:tcMar>
              <w:top w:w="110" w:type="dxa"/>
              <w:start w:w="100" w:type="dxa"/>
              <w:bottom w:w="110" w:type="dxa"/>
              <w:end w:w="100" w:type="dxa"/>
            </w:tcMar>
          </w:tcPr>
          <w:p>
            <w:pPr>
              <w:spacing w:after="0"/>
              <w:jc w:val="center"/>
            </w:pPr>
            <w:r>
              <w:rPr>
                <w:rFonts w:ascii="Aptos" w:hAnsi="Aptos"/>
                <w:b/>
                <w:i w:val="0"/>
                <w:color w:val="FFFFFF"/>
                <w:sz w:val="30"/>
              </w:rPr>
              <w:t>2,60 €</w:t>
            </w:r>
          </w:p>
          <w:p>
            <w:pPr>
              <w:spacing w:after="0"/>
              <w:jc w:val="center"/>
            </w:pPr>
            <w:r>
              <w:rPr>
                <w:rFonts w:ascii="Aptos" w:hAnsi="Aptos"/>
                <w:b w:val="0"/>
                <w:i w:val="0"/>
                <w:color w:val="FFFFFF"/>
                <w:sz w:val="16"/>
              </w:rPr>
              <w:t>tarif APE par boule</w:t>
            </w:r>
          </w:p>
        </w:tc>
        <w:tc>
          <w:tcPr>
            <w:tcW w:type="dxa" w:w="3167"/>
            <w:shd w:fill="173C34"/>
            <w:tcMar>
              <w:top w:w="110" w:type="dxa"/>
              <w:start w:w="100" w:type="dxa"/>
              <w:bottom w:w="110" w:type="dxa"/>
              <w:end w:w="100" w:type="dxa"/>
            </w:tcMar>
          </w:tcPr>
          <w:p>
            <w:pPr>
              <w:spacing w:after="0"/>
              <w:jc w:val="center"/>
            </w:pPr>
            <w:r>
              <w:rPr>
                <w:rFonts w:ascii="Aptos" w:hAnsi="Aptos"/>
                <w:b/>
                <w:i w:val="0"/>
                <w:color w:val="FFFFFF"/>
                <w:sz w:val="30"/>
              </w:rPr>
              <w:t>5,00 €</w:t>
            </w:r>
          </w:p>
          <w:p>
            <w:pPr>
              <w:spacing w:after="0"/>
              <w:jc w:val="center"/>
            </w:pPr>
            <w:r>
              <w:rPr>
                <w:rFonts w:ascii="Aptos" w:hAnsi="Aptos"/>
                <w:b w:val="0"/>
                <w:i w:val="0"/>
                <w:color w:val="FFFFFF"/>
                <w:sz w:val="16"/>
              </w:rPr>
              <w:t>prix de revente conseillé</w:t>
            </w:r>
          </w:p>
        </w:tc>
        <w:tc>
          <w:tcPr>
            <w:tcW w:type="dxa" w:w="3167"/>
            <w:shd w:fill="173C34"/>
            <w:tcMar>
              <w:top w:w="110" w:type="dxa"/>
              <w:start w:w="100" w:type="dxa"/>
              <w:bottom w:w="110" w:type="dxa"/>
              <w:end w:w="100" w:type="dxa"/>
            </w:tcMar>
          </w:tcPr>
          <w:p>
            <w:pPr>
              <w:spacing w:after="0"/>
              <w:jc w:val="center"/>
            </w:pPr>
            <w:r>
              <w:rPr>
                <w:rFonts w:ascii="Aptos" w:hAnsi="Aptos"/>
                <w:b/>
                <w:i w:val="0"/>
                <w:color w:val="FFFFFF"/>
                <w:sz w:val="30"/>
              </w:rPr>
              <w:t>2,40 €</w:t>
            </w:r>
          </w:p>
          <w:p>
            <w:pPr>
              <w:spacing w:after="0"/>
              <w:jc w:val="center"/>
            </w:pPr>
            <w:r>
              <w:rPr>
                <w:rFonts w:ascii="Aptos" w:hAnsi="Aptos"/>
                <w:b w:val="0"/>
                <w:i w:val="0"/>
                <w:color w:val="FFFFFF"/>
                <w:sz w:val="16"/>
              </w:rPr>
              <w:t>de bénéfice par vente</w:t>
            </w:r>
          </w:p>
        </w:tc>
      </w:tr>
    </w:tbl>
    <w:p>
      <w:pPr>
        <w:spacing w:after="0"/>
      </w:pPr>
    </w:p>
    <w:p>
      <w:pPr>
        <w:pStyle w:val="Heading2"/>
      </w:pPr>
      <w:r>
        <w:rPr>
          <w:rFonts w:ascii="Aptos" w:hAnsi="Aptos"/>
          <w:b/>
          <w:i w:val="0"/>
          <w:color w:val="315945"/>
          <w:sz w:val="22"/>
        </w:rPr>
        <w:t>ÉTAPE 1 — Réservez votre créneau</w:t>
      </w:r>
    </w:p>
    <w:p>
      <w:pPr>
        <w:spacing w:after="60"/>
        <w:ind w:left="85"/>
      </w:pPr>
      <w:r>
        <w:rPr>
          <w:rFonts w:ascii="Aptos" w:hAnsi="Aptos"/>
          <w:b w:val="0"/>
          <w:i w:val="0"/>
          <w:color w:val="202725"/>
          <w:sz w:val="19"/>
        </w:rPr>
        <w:t>Contactez-moi avant de lancer l’opération afin de vérifier mes disponibilités et de fixer votre date de clôture et de livraison.</w:t>
      </w:r>
    </w:p>
    <w:p>
      <w:pPr>
        <w:pStyle w:val="Heading2"/>
      </w:pPr>
      <w:r>
        <w:rPr>
          <w:rFonts w:ascii="Aptos" w:hAnsi="Aptos"/>
          <w:b/>
          <w:i w:val="0"/>
          <w:color w:val="315945"/>
          <w:sz w:val="22"/>
        </w:rPr>
        <w:t>ÉTAPE 2 — Présentez l’opération aux familles</w:t>
      </w:r>
    </w:p>
    <w:p>
      <w:pPr>
        <w:spacing w:after="60"/>
        <w:ind w:left="85"/>
      </w:pPr>
      <w:r>
        <w:rPr>
          <w:rFonts w:ascii="Aptos" w:hAnsi="Aptos"/>
          <w:b w:val="0"/>
          <w:i w:val="0"/>
          <w:color w:val="202725"/>
          <w:sz w:val="19"/>
        </w:rPr>
        <w:t>Distribuez le bon de commande joint. Les familles choisissent l’un des 5 modèles et indiquent le prénom à personnaliser.</w:t>
      </w:r>
    </w:p>
    <w:p>
      <w:pPr>
        <w:pStyle w:val="Heading2"/>
      </w:pPr>
      <w:r>
        <w:rPr>
          <w:rFonts w:ascii="Aptos" w:hAnsi="Aptos"/>
          <w:b/>
          <w:i w:val="0"/>
          <w:color w:val="315945"/>
          <w:sz w:val="22"/>
        </w:rPr>
        <w:t>ÉTAPE 3 — Centralisez les commandes</w:t>
      </w:r>
    </w:p>
    <w:p>
      <w:pPr>
        <w:spacing w:after="60"/>
        <w:ind w:left="85"/>
      </w:pPr>
      <w:r>
        <w:rPr>
          <w:rFonts w:ascii="Aptos" w:hAnsi="Aptos"/>
          <w:b w:val="0"/>
          <w:i w:val="0"/>
          <w:color w:val="202725"/>
          <w:sz w:val="19"/>
        </w:rPr>
        <w:t>L’APE ou l’école recueille les bons et les paiements. Il n’y a aucun stock à constituer et donc aucun invendu.</w:t>
      </w:r>
    </w:p>
    <w:p>
      <w:pPr>
        <w:pStyle w:val="Heading2"/>
      </w:pPr>
      <w:r>
        <w:rPr>
          <w:rFonts w:ascii="Aptos" w:hAnsi="Aptos"/>
          <w:b/>
          <w:i w:val="0"/>
          <w:color w:val="315945"/>
          <w:sz w:val="22"/>
        </w:rPr>
        <w:t>ÉTAPE 4 — Passez la commande sur la page APE du site</w:t>
      </w:r>
    </w:p>
    <w:p>
      <w:pPr>
        <w:spacing w:after="60"/>
        <w:ind w:left="85"/>
      </w:pPr>
      <w:r>
        <w:rPr>
          <w:rFonts w:ascii="Aptos" w:hAnsi="Aptos"/>
          <w:b w:val="0"/>
          <w:i w:val="0"/>
          <w:color w:val="202725"/>
          <w:sz w:val="19"/>
        </w:rPr>
        <w:t>Une fois la vente terminée, vous passez votre commande groupée sur la page réservée aux APE de mon site. Le lien vers cette page vous est communiqué lors de la confirmation du lancement de votre opération. Vous joignez à la commande la liste récapitulative au format Word ou Excel : prénom, modèle choisi et quantité. Les photos de listes manuscrites ne sont pas acceptées.</w:t>
      </w:r>
    </w:p>
    <w:p>
      <w:pPr>
        <w:pStyle w:val="Heading2"/>
      </w:pPr>
      <w:r>
        <w:rPr>
          <w:rFonts w:ascii="Aptos" w:hAnsi="Aptos"/>
          <w:b/>
          <w:i w:val="0"/>
          <w:color w:val="315945"/>
          <w:sz w:val="22"/>
        </w:rPr>
        <w:t>ÉTAPE 5 — Fabrication et livraison groupée</w:t>
      </w:r>
    </w:p>
    <w:p>
      <w:pPr>
        <w:spacing w:after="60"/>
        <w:ind w:left="85"/>
      </w:pPr>
      <w:r>
        <w:rPr>
          <w:rFonts w:ascii="Aptos" w:hAnsi="Aptos"/>
          <w:b w:val="0"/>
          <w:i w:val="0"/>
          <w:color w:val="202725"/>
          <w:sz w:val="19"/>
        </w:rPr>
        <w:t>Je fabrique et personnalise chaque boule dans mon atelier des Vosges. Comptez environ 15 jours après validation, selon le créneau réservé. La commande est livrée en lot : les boules, les sachets et les crochets sont fournis séparément. L’APE ou l’école se charge ensuite de placer chaque boule dans son sachet et d’ajouter le crochet.</w:t>
      </w:r>
    </w:p>
    <w:tbl>
      <w:tblPr>
        <w:tblW w:type="dxa" w:w="9500"/>
        <w:jc w:val="center"/>
        <w:tblLayout w:type="fixed"/>
        <w:tblLook w:firstColumn="1" w:firstRow="1" w:lastColumn="0" w:lastRow="0" w:noHBand="0" w:noVBand="1" w:val="04A0"/>
        <w:tblInd w:w="0" w:type="dxa"/>
      </w:tblPr>
      <w:tblGrid>
        <w:gridCol w:w="9500"/>
      </w:tblGrid>
      <w:tr>
        <w:tc>
          <w:tcPr>
            <w:tcW w:type="dxa" w:w="9500"/>
            <w:shd w:fill="EFF5F1"/>
            <w:tcMar>
              <w:top w:w="95" w:type="dxa"/>
              <w:start w:w="150" w:type="dxa"/>
              <w:bottom w:w="95" w:type="dxa"/>
              <w:end w:w="150" w:type="dxa"/>
            </w:tcMar>
          </w:tcPr>
          <w:p>
            <w:pPr>
              <w:spacing w:after="20"/>
            </w:pPr>
            <w:r>
              <w:rPr>
                <w:rFonts w:ascii="Aptos" w:hAnsi="Aptos"/>
                <w:b/>
                <w:i w:val="0"/>
                <w:color w:val="B58A3A"/>
                <w:sz w:val="18"/>
              </w:rPr>
              <w:t xml:space="preserve">À RETENIR  </w:t>
            </w:r>
            <w:r>
              <w:rPr>
                <w:rFonts w:ascii="Aptos" w:hAnsi="Aptos"/>
                <w:b/>
                <w:i w:val="0"/>
                <w:color w:val="173C34"/>
                <w:sz w:val="18"/>
              </w:rPr>
              <w:t>5 modèles au choix  •  aucun stock  •  aucun invendu  •  frais de livraison groupée : 6,90 €</w:t>
            </w:r>
          </w:p>
        </w:tc>
      </w:tr>
    </w:tbl>
    <w:p>
      <w:pPr>
        <w:spacing w:after="0" w:before="0"/>
      </w:pPr>
    </w:p>
    <w:tbl>
      <w:tblPr>
        <w:tblW w:type="dxa" w:w="9500"/>
        <w:jc w:val="center"/>
        <w:tblLayout w:type="fixed"/>
        <w:tblLook w:firstColumn="1" w:firstRow="1" w:lastColumn="0" w:lastRow="0" w:noHBand="0" w:noVBand="1" w:val="04A0"/>
        <w:tblInd w:w="0" w:type="dxa"/>
      </w:tblPr>
      <w:tblGrid>
        <w:gridCol w:w="2150"/>
        <w:gridCol w:w="4850"/>
        <w:gridCol w:w="2500"/>
      </w:tblGrid>
      <w:tr>
        <w:tc>
          <w:tcPr>
            <w:tcW w:type="dxa" w:w="2150"/>
            <w:shd w:fill="F8F3E8"/>
            <w:tcMar>
              <w:top w:w="100" w:type="dxa"/>
              <w:start w:w="120" w:type="dxa"/>
              <w:bottom w:w="100" w:type="dxa"/>
              <w:end w:w="120" w:type="dxa"/>
            </w:tcMar>
            <w:vAlign w:val="center"/>
          </w:tcPr>
          <w:p>
            <w:pPr>
              <w:jc w:val="center"/>
            </w:pPr>
            <w:r>
              <w:drawing>
                <wp:inline xmlns:a="http://schemas.openxmlformats.org/drawingml/2006/main" xmlns:pic="http://schemas.openxmlformats.org/drawingml/2006/picture">
                  <wp:extent cx="1170000" cy="988491"/>
                  <wp:docPr id="2" name="Picture 2"/>
                  <wp:cNvGraphicFramePr>
                    <a:graphicFrameLocks noChangeAspect="1"/>
                  </wp:cNvGraphicFramePr>
                  <a:graphic>
                    <a:graphicData uri="http://schemas.openxmlformats.org/drawingml/2006/picture">
                      <pic:pic>
                        <pic:nvPicPr>
                          <pic:cNvPr id="0" name="image2.jpeg"/>
                          <pic:cNvPicPr/>
                        </pic:nvPicPr>
                        <pic:blipFill>
                          <a:blip r:embed="rId11"/>
                          <a:stretch>
                            <a:fillRect/>
                          </a:stretch>
                        </pic:blipFill>
                        <pic:spPr>
                          <a:xfrm>
                            <a:off x="0" y="0"/>
                            <a:ext cx="1170000" cy="988491"/>
                          </a:xfrm>
                          <a:prstGeom prst="rect"/>
                        </pic:spPr>
                      </pic:pic>
                    </a:graphicData>
                  </a:graphic>
                </wp:inline>
              </w:drawing>
            </w:r>
          </w:p>
        </w:tc>
        <w:tc>
          <w:tcPr>
            <w:tcW w:type="dxa" w:w="4850"/>
            <w:shd w:fill="F8F3E8"/>
            <w:tcMar>
              <w:top w:w="100" w:type="dxa"/>
              <w:start w:w="120" w:type="dxa"/>
              <w:bottom w:w="100" w:type="dxa"/>
              <w:end w:w="120" w:type="dxa"/>
            </w:tcMar>
            <w:vAlign w:val="center"/>
          </w:tcPr>
          <w:p>
            <w:pPr>
              <w:spacing w:after="80"/>
            </w:pPr>
            <w:r>
              <w:rPr>
                <w:rFonts w:ascii="Aptos" w:hAnsi="Aptos"/>
                <w:b/>
                <w:i w:val="0"/>
                <w:color w:val="173C34"/>
                <w:sz w:val="24"/>
              </w:rPr>
              <w:t>Retrouvez le dossier complet en ligne</w:t>
            </w:r>
          </w:p>
          <w:p>
            <w:pPr>
              <w:spacing w:after="80"/>
            </w:pPr>
            <w:r>
              <w:rPr>
                <w:rFonts w:ascii="Aptos" w:hAnsi="Aptos"/>
                <w:b w:val="0"/>
                <w:i w:val="0"/>
                <w:color w:val="202725"/>
                <w:sz w:val="18"/>
              </w:rPr>
              <w:t>Tous les détails, modèles et réponses aux questions sont disponibles sur le blog NsDreamsLaser.</w:t>
            </w:r>
          </w:p>
          <w:p>
            <w:pPr>
              <w:spacing w:after="0"/>
            </w:pPr>
            <w:hyperlink r:id="rId12">
              <w:r>
                <w:rPr>
                  <w:color w:val="B58A3A"/>
                  <w:u w:val="single"/>
                  <w:rFonts w:ascii="Aptos" w:hAnsi="Aptos"/>
                  <w:sz w:val="20"/>
                </w:rPr>
                <w:t>nsdreamslaser.fr/blog/noel/</w:t>
              </w:r>
            </w:hyperlink>
          </w:p>
        </w:tc>
        <w:tc>
          <w:tcPr>
            <w:tcW w:type="dxa" w:w="2500"/>
            <w:shd w:fill="F8F3E8"/>
            <w:tcMar>
              <w:top w:w="100" w:type="dxa"/>
              <w:start w:w="120" w:type="dxa"/>
              <w:bottom w:w="100" w:type="dxa"/>
              <w:end w:w="120" w:type="dxa"/>
            </w:tcMar>
            <w:vAlign w:val="center"/>
          </w:tcPr>
          <w:p>
            <w:pPr>
              <w:jc w:val="center"/>
            </w:pPr>
            <w:r>
              <w:drawing>
                <wp:inline xmlns:a="http://schemas.openxmlformats.org/drawingml/2006/main" xmlns:pic="http://schemas.openxmlformats.org/drawingml/2006/picture">
                  <wp:extent cx="954000" cy="954000"/>
                  <wp:docPr id="3" name="Picture 3"/>
                  <wp:cNvGraphicFramePr>
                    <a:graphicFrameLocks noChangeAspect="1"/>
                  </wp:cNvGraphicFramePr>
                  <a:graphic>
                    <a:graphicData uri="http://schemas.openxmlformats.org/drawingml/2006/picture">
                      <pic:pic>
                        <pic:nvPicPr>
                          <pic:cNvPr id="0" name="qr_blog_noel.png"/>
                          <pic:cNvPicPr/>
                        </pic:nvPicPr>
                        <pic:blipFill>
                          <a:blip r:embed="rId13"/>
                          <a:stretch>
                            <a:fillRect/>
                          </a:stretch>
                        </pic:blipFill>
                        <pic:spPr>
                          <a:xfrm>
                            <a:off x="0" y="0"/>
                            <a:ext cx="954000" cy="954000"/>
                          </a:xfrm>
                          <a:prstGeom prst="rect"/>
                        </pic:spPr>
                      </pic:pic>
                    </a:graphicData>
                  </a:graphic>
                </wp:inline>
              </w:drawing>
            </w:r>
          </w:p>
          <w:p>
            <w:pPr>
              <w:spacing w:after="0"/>
              <w:jc w:val="center"/>
            </w:pPr>
            <w:r>
              <w:rPr>
                <w:rFonts w:ascii="Aptos" w:hAnsi="Aptos"/>
                <w:b/>
                <w:i w:val="0"/>
                <w:color w:val="5D6964"/>
                <w:sz w:val="16"/>
              </w:rPr>
              <w:t>Scannez pour ouvrir</w:t>
            </w:r>
          </w:p>
        </w:tc>
      </w:tr>
    </w:tbl>
    <w:p>
      <w:pPr>
        <w:spacing w:before="100" w:after="0"/>
        <w:jc w:val="center"/>
      </w:pPr>
      <w:r>
        <w:rPr>
          <w:rFonts w:ascii="Aptos" w:hAnsi="Aptos"/>
          <w:b/>
          <w:i w:val="0"/>
          <w:color w:val="173C34"/>
          <w:sz w:val="17"/>
        </w:rPr>
        <w:t>Luc Nicolle  •  06 40 20 59 24  •  contact@nsdreamslaser.fr  •  Fabrication française</w:t>
      </w:r>
    </w:p>
    <w:sectPr w:rsidR="00FC693F" w:rsidRPr="0006063C" w:rsidSect="00034616">
      <w:headerReference w:type="default" r:id="rId9"/>
      <w:pgSz w:w="11906" w:h="16838"/>
      <w:pgMar w:top="595" w:right="765" w:bottom="595" w:left="765"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i w:val="0"/>
        <w:color w:val="5D6964"/>
        <w:sz w:val="17"/>
      </w:rPr>
      <w:t>NsDreamsLaser  •  Fabrication artisanale dans les Vosges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ptos" w:hAnsi="Aptos"/>
      <w:color w:val="202725"/>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ptos" w:hAnsi="Aptos"/>
      <w:b/>
      <w:bCs/>
      <w:color w:val="173C34"/>
      <w:sz w:val="30"/>
      <w:szCs w:val="28"/>
    </w:rPr>
  </w:style>
  <w:style w:type="paragraph" w:styleId="Heading2">
    <w:name w:val="heading 2"/>
    <w:basedOn w:val="Normal"/>
    <w:next w:val="Normal"/>
    <w:link w:val="Heading2Char"/>
    <w:uiPriority w:val="9"/>
    <w:unhideWhenUsed/>
    <w:qFormat/>
    <w:rsid w:val="00FC693F"/>
    <w:pPr>
      <w:keepNext/>
      <w:keepLines/>
      <w:spacing w:before="100" w:after="40"/>
      <w:outlineLvl w:val="1"/>
    </w:pPr>
    <w:rPr>
      <w:rFonts w:asciiTheme="majorHAnsi" w:eastAsiaTheme="majorEastAsia" w:hAnsiTheme="majorHAnsi" w:cstheme="majorBidi" w:ascii="Aptos" w:hAnsi="Aptos"/>
      <w:b/>
      <w:bCs/>
      <w:color w:val="315945"/>
      <w:sz w:val="23"/>
      <w:szCs w:val="26"/>
    </w:rPr>
  </w:style>
  <w:style w:type="paragraph" w:styleId="Heading3">
    <w:name w:val="heading 3"/>
    <w:basedOn w:val="Normal"/>
    <w:next w:val="Normal"/>
    <w:link w:val="Heading3Char"/>
    <w:uiPriority w:val="9"/>
    <w:unhideWhenUsed/>
    <w:qFormat/>
    <w:rsid w:val="00FC693F"/>
    <w:pPr>
      <w:keepNext/>
      <w:keepLines/>
      <w:spacing w:before="80" w:after="40"/>
      <w:outlineLvl w:val="2"/>
    </w:pPr>
    <w:rPr>
      <w:rFonts w:asciiTheme="majorHAnsi" w:eastAsiaTheme="majorEastAsia" w:hAnsiTheme="majorHAnsi" w:cstheme="majorBidi" w:ascii="Aptos" w:hAnsi="Aptos"/>
      <w:b/>
      <w:bCs/>
      <w:color w:val="315945"/>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image" Target="media/image1.jpeg"/><Relationship Id="rId11" Type="http://schemas.openxmlformats.org/officeDocument/2006/relationships/image" Target="media/image2.jpeg"/><Relationship Id="rId12" Type="http://schemas.openxmlformats.org/officeDocument/2006/relationships/hyperlink" Target="https://nsdreamslaser.fr/blog/noel/boules-de-noel-personnalisees-pour-ecoles-operation-simple-et-tracable-ape-apel.html" TargetMode="External"/><Relationship Id="rId1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Procédure de l’opération Boules de Noël personnalisées</dc:title>
  <dc:subject>Guide d’accompagnement pour les APE, APEL, écoles et associations</dc:subject>
  <dc:creator>NsDreamsLaser - Luc Nicolle</dc:creator>
  <cp:keywords>APE, APEL, école, boules de Noël personnalisées, procédure</cp:keywords>
  <dc:description>generated by python-docx</dc:description>
  <cp:lastModifiedBy/>
  <cp:revision>1</cp:revision>
  <dcterms:created xsi:type="dcterms:W3CDTF">2013-12-23T23:15:00Z</dcterms:created>
  <dcterms:modified xsi:type="dcterms:W3CDTF">2013-12-23T23:15:00Z</dcterms:modified>
  <cp:category/>
</cp:coreProperties>
</file>