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3"/>
        <w:rPr>
          <w:sz w:val="15"/>
        </w:rPr>
      </w:pPr>
    </w:p>
    <w:p>
      <w:pPr>
        <w:pStyle w:val="BodyText"/>
        <w:ind w:left="2100"/>
      </w:pPr>
      <w:r>
        <w:rPr/>
        <w:drawing>
          <wp:inline distT="0" distB="0" distL="0" distR="0">
            <wp:extent cx="1741050" cy="380523"/>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741050" cy="380523"/>
                    </a:xfrm>
                    <a:prstGeom prst="rect">
                      <a:avLst/>
                    </a:prstGeom>
                  </pic:spPr>
                </pic:pic>
              </a:graphicData>
            </a:graphic>
          </wp:inline>
        </w:drawing>
      </w:r>
      <w:r>
        <w:rPr/>
      </w:r>
    </w:p>
    <w:p>
      <w:pPr>
        <w:pStyle w:val="BodyText"/>
      </w:pPr>
    </w:p>
    <w:p>
      <w:pPr>
        <w:pStyle w:val="BodyText"/>
        <w:spacing w:before="1"/>
        <w:rPr>
          <w:sz w:val="16"/>
        </w:rPr>
      </w:pPr>
    </w:p>
    <w:p>
      <w:pPr>
        <w:pStyle w:val="BodyText"/>
        <w:tabs>
          <w:tab w:pos="2798" w:val="left" w:leader="none"/>
        </w:tabs>
        <w:spacing w:before="93"/>
        <w:ind w:left="1884"/>
        <w:jc w:val="both"/>
      </w:pPr>
      <w:r>
        <w:rPr/>
        <w:t>To:</w:t>
        <w:tab/>
        <w:t>MSU Faculty</w:t>
      </w:r>
      <w:r>
        <w:rPr>
          <w:spacing w:val="-4"/>
        </w:rPr>
        <w:t> </w:t>
      </w:r>
      <w:r>
        <w:rPr/>
        <w:t>Senate</w:t>
      </w:r>
    </w:p>
    <w:p>
      <w:pPr>
        <w:pStyle w:val="BodyText"/>
        <w:spacing w:before="1"/>
      </w:pPr>
    </w:p>
    <w:p>
      <w:pPr>
        <w:pStyle w:val="BodyText"/>
        <w:ind w:left="1884"/>
        <w:jc w:val="both"/>
      </w:pPr>
      <w:r>
        <w:rPr/>
        <w:t>From: Engineering College Advisory Council</w:t>
      </w:r>
    </w:p>
    <w:p>
      <w:pPr>
        <w:pStyle w:val="BodyText"/>
        <w:spacing w:before="1"/>
      </w:pPr>
    </w:p>
    <w:p>
      <w:pPr>
        <w:pStyle w:val="BodyText"/>
        <w:spacing w:line="475" w:lineRule="auto"/>
        <w:ind w:left="1884" w:right="1159"/>
        <w:jc w:val="both"/>
      </w:pPr>
      <w:r>
        <w:rPr/>
        <w:t>Topic: Proposed new faculty-evaluation standards for reappointment, tenure, and promotion Date: August 4, 2021</w:t>
      </w:r>
    </w:p>
    <w:p>
      <w:pPr>
        <w:pStyle w:val="BodyText"/>
        <w:spacing w:before="6"/>
        <w:ind w:left="1884" w:right="108"/>
        <w:jc w:val="both"/>
      </w:pPr>
      <w:r>
        <w:rPr/>
        <w:t>The Engineering College Advisory Council (ECAC) understands from Section 3.3.4 of MSU’s Bylaws for Academic Governance that the Faculty Senate is the major, deliberative, representative, and legislative body for</w:t>
      </w:r>
      <w:r>
        <w:rPr>
          <w:spacing w:val="-5"/>
        </w:rPr>
        <w:t> </w:t>
      </w:r>
      <w:r>
        <w:rPr/>
        <w:t>the</w:t>
      </w:r>
      <w:r>
        <w:rPr>
          <w:spacing w:val="-5"/>
        </w:rPr>
        <w:t> </w:t>
      </w:r>
      <w:r>
        <w:rPr/>
        <w:t>MSU</w:t>
      </w:r>
      <w:r>
        <w:rPr>
          <w:spacing w:val="-4"/>
        </w:rPr>
        <w:t> </w:t>
      </w:r>
      <w:r>
        <w:rPr/>
        <w:t>faculty’s</w:t>
      </w:r>
      <w:r>
        <w:rPr>
          <w:spacing w:val="-5"/>
        </w:rPr>
        <w:t> </w:t>
      </w:r>
      <w:r>
        <w:rPr/>
        <w:t>tenure</w:t>
      </w:r>
      <w:r>
        <w:rPr>
          <w:spacing w:val="-5"/>
        </w:rPr>
        <w:t> </w:t>
      </w:r>
      <w:r>
        <w:rPr/>
        <w:t>and</w:t>
      </w:r>
      <w:r>
        <w:rPr>
          <w:spacing w:val="-4"/>
        </w:rPr>
        <w:t> </w:t>
      </w:r>
      <w:r>
        <w:rPr/>
        <w:t>promotion</w:t>
      </w:r>
      <w:r>
        <w:rPr>
          <w:spacing w:val="-5"/>
        </w:rPr>
        <w:t> </w:t>
      </w:r>
      <w:r>
        <w:rPr/>
        <w:t>issues,</w:t>
      </w:r>
      <w:r>
        <w:rPr>
          <w:spacing w:val="-4"/>
        </w:rPr>
        <w:t> </w:t>
      </w:r>
      <w:r>
        <w:rPr/>
        <w:t>and</w:t>
      </w:r>
      <w:r>
        <w:rPr>
          <w:spacing w:val="-4"/>
        </w:rPr>
        <w:t> </w:t>
      </w:r>
      <w:r>
        <w:rPr/>
        <w:t>that</w:t>
      </w:r>
      <w:r>
        <w:rPr>
          <w:spacing w:val="-4"/>
        </w:rPr>
        <w:t> </w:t>
      </w:r>
      <w:r>
        <w:rPr/>
        <w:t>it</w:t>
      </w:r>
      <w:r>
        <w:rPr>
          <w:spacing w:val="-4"/>
        </w:rPr>
        <w:t> </w:t>
      </w:r>
      <w:r>
        <w:rPr/>
        <w:t>is</w:t>
      </w:r>
      <w:r>
        <w:rPr>
          <w:spacing w:val="-4"/>
        </w:rPr>
        <w:t> </w:t>
      </w:r>
      <w:r>
        <w:rPr/>
        <w:t>tasked</w:t>
      </w:r>
      <w:r>
        <w:rPr>
          <w:spacing w:val="-5"/>
        </w:rPr>
        <w:t> </w:t>
      </w:r>
      <w:r>
        <w:rPr/>
        <w:t>with</w:t>
      </w:r>
      <w:r>
        <w:rPr>
          <w:spacing w:val="-5"/>
        </w:rPr>
        <w:t> </w:t>
      </w:r>
      <w:r>
        <w:rPr/>
        <w:t>discussing</w:t>
      </w:r>
      <w:r>
        <w:rPr>
          <w:spacing w:val="-4"/>
        </w:rPr>
        <w:t> </w:t>
      </w:r>
      <w:r>
        <w:rPr/>
        <w:t>issues</w:t>
      </w:r>
      <w:r>
        <w:rPr>
          <w:spacing w:val="-5"/>
        </w:rPr>
        <w:t> </w:t>
      </w:r>
      <w:r>
        <w:rPr/>
        <w:t>brought</w:t>
      </w:r>
      <w:r>
        <w:rPr>
          <w:spacing w:val="-4"/>
        </w:rPr>
        <w:t> </w:t>
      </w:r>
      <w:r>
        <w:rPr/>
        <w:t>to</w:t>
      </w:r>
      <w:r>
        <w:rPr>
          <w:spacing w:val="-4"/>
        </w:rPr>
        <w:t> </w:t>
      </w:r>
      <w:r>
        <w:rPr/>
        <w:t>it</w:t>
      </w:r>
      <w:r>
        <w:rPr>
          <w:spacing w:val="-4"/>
        </w:rPr>
        <w:t> </w:t>
      </w:r>
      <w:r>
        <w:rPr/>
        <w:t>by college advisory councils, synthesizing the opinion of the faculty to form recommendations, and communicating those recommendations to the MSU President and</w:t>
      </w:r>
      <w:r>
        <w:rPr>
          <w:spacing w:val="-11"/>
        </w:rPr>
        <w:t> </w:t>
      </w:r>
      <w:r>
        <w:rPr/>
        <w:t>Provost.</w:t>
      </w:r>
    </w:p>
    <w:p>
      <w:pPr>
        <w:pStyle w:val="BodyText"/>
        <w:spacing w:before="103"/>
        <w:ind w:left="1884" w:right="108"/>
        <w:jc w:val="both"/>
      </w:pPr>
      <w:r>
        <w:rPr/>
        <w:t>The ECAC wishes to bring issues for the Faculty Senate’s discussion related to this year’s annual framework letter from Provost Woodruff. This letter was emailed to MSU tenure system faculty, deans, school directors, and chairpersons on April 13, 2021 with the subject line “University Philosophy and Guiding Policies on Faculty</w:t>
      </w:r>
      <w:r>
        <w:rPr>
          <w:spacing w:val="-8"/>
        </w:rPr>
        <w:t> </w:t>
      </w:r>
      <w:r>
        <w:rPr/>
        <w:t>Tenure</w:t>
      </w:r>
      <w:r>
        <w:rPr>
          <w:spacing w:val="-7"/>
        </w:rPr>
        <w:t> </w:t>
      </w:r>
      <w:r>
        <w:rPr/>
        <w:t>and</w:t>
      </w:r>
      <w:r>
        <w:rPr>
          <w:spacing w:val="-7"/>
        </w:rPr>
        <w:t> </w:t>
      </w:r>
      <w:r>
        <w:rPr/>
        <w:t>Promotion”.</w:t>
      </w:r>
      <w:r>
        <w:rPr>
          <w:spacing w:val="-8"/>
        </w:rPr>
        <w:t> </w:t>
      </w:r>
      <w:r>
        <w:rPr/>
        <w:t>That</w:t>
      </w:r>
      <w:r>
        <w:rPr>
          <w:spacing w:val="-7"/>
        </w:rPr>
        <w:t> </w:t>
      </w:r>
      <w:r>
        <w:rPr/>
        <w:t>electronic</w:t>
      </w:r>
      <w:r>
        <w:rPr>
          <w:spacing w:val="-7"/>
        </w:rPr>
        <w:t> </w:t>
      </w:r>
      <w:r>
        <w:rPr/>
        <w:t>letter,</w:t>
      </w:r>
      <w:r>
        <w:rPr>
          <w:spacing w:val="-8"/>
        </w:rPr>
        <w:t> </w:t>
      </w:r>
      <w:r>
        <w:rPr/>
        <w:t>within</w:t>
      </w:r>
      <w:r>
        <w:rPr>
          <w:spacing w:val="-7"/>
        </w:rPr>
        <w:t> </w:t>
      </w:r>
      <w:r>
        <w:rPr/>
        <w:t>the</w:t>
      </w:r>
      <w:r>
        <w:rPr>
          <w:spacing w:val="-7"/>
        </w:rPr>
        <w:t> </w:t>
      </w:r>
      <w:r>
        <w:rPr/>
        <w:t>broader</w:t>
      </w:r>
      <w:r>
        <w:rPr>
          <w:spacing w:val="-8"/>
        </w:rPr>
        <w:t> </w:t>
      </w:r>
      <w:r>
        <w:rPr/>
        <w:t>historical</w:t>
      </w:r>
      <w:r>
        <w:rPr>
          <w:spacing w:val="-7"/>
        </w:rPr>
        <w:t> </w:t>
      </w:r>
      <w:r>
        <w:rPr/>
        <w:t>and</w:t>
      </w:r>
      <w:r>
        <w:rPr>
          <w:spacing w:val="-7"/>
        </w:rPr>
        <w:t> </w:t>
      </w:r>
      <w:r>
        <w:rPr/>
        <w:t>societal</w:t>
      </w:r>
      <w:r>
        <w:rPr>
          <w:spacing w:val="-8"/>
        </w:rPr>
        <w:t> </w:t>
      </w:r>
      <w:r>
        <w:rPr/>
        <w:t>context</w:t>
      </w:r>
      <w:r>
        <w:rPr>
          <w:spacing w:val="-7"/>
        </w:rPr>
        <w:t> </w:t>
      </w:r>
      <w:r>
        <w:rPr/>
        <w:t>of</w:t>
      </w:r>
      <w:r>
        <w:rPr>
          <w:spacing w:val="-7"/>
        </w:rPr>
        <w:t> </w:t>
      </w:r>
      <w:r>
        <w:rPr/>
        <w:t>our University’s mission, presented the Provost’s recommendations for standards to be used in evaluating tenure- track faculty members’ packages for reappointment, promotion, and tenure (RPT). Because the ECAC recognizes that it is the Faculty Senate’s responsibility to protect academic freedom and the faculty’s role in academic governance, we outline areas of concern and pose a series of questions in response to what are perceived to be possibly significant changes in policy regarding the RPT</w:t>
      </w:r>
      <w:r>
        <w:rPr>
          <w:spacing w:val="-15"/>
        </w:rPr>
        <w:t> </w:t>
      </w:r>
      <w:r>
        <w:rPr/>
        <w:t>standards.</w:t>
      </w:r>
    </w:p>
    <w:p>
      <w:pPr>
        <w:pStyle w:val="BodyText"/>
        <w:rPr>
          <w:sz w:val="22"/>
        </w:rPr>
      </w:pPr>
    </w:p>
    <w:p>
      <w:pPr>
        <w:pStyle w:val="BodyText"/>
        <w:ind w:left="1884" w:right="110"/>
        <w:jc w:val="both"/>
      </w:pPr>
      <w:r>
        <w:rPr/>
        <w:drawing>
          <wp:anchor distT="0" distB="0" distL="0" distR="0" allowOverlap="1" layoutInCell="1" locked="0" behindDoc="0" simplePos="0" relativeHeight="251658240">
            <wp:simplePos x="0" y="0"/>
            <wp:positionH relativeFrom="page">
              <wp:posOffset>627259</wp:posOffset>
            </wp:positionH>
            <wp:positionV relativeFrom="paragraph">
              <wp:posOffset>33282</wp:posOffset>
            </wp:positionV>
            <wp:extent cx="741173" cy="742950"/>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741173" cy="742950"/>
                    </a:xfrm>
                    <a:prstGeom prst="rect">
                      <a:avLst/>
                    </a:prstGeom>
                  </pic:spPr>
                </pic:pic>
              </a:graphicData>
            </a:graphic>
          </wp:anchor>
        </w:drawing>
      </w:r>
      <w:r>
        <w:rPr/>
        <w:t>The Provost’s recommendations include the three traditional standards of research, teaching, and service that tenure-track faculty have been informed would serve as the basis of their RPT evaluation.</w:t>
      </w:r>
    </w:p>
    <w:p>
      <w:pPr>
        <w:pStyle w:val="BodyText"/>
        <w:tabs>
          <w:tab w:pos="4982" w:val="left" w:leader="none"/>
        </w:tabs>
        <w:spacing w:line="237" w:lineRule="auto" w:before="3"/>
        <w:ind w:left="1884" w:right="109"/>
        <w:jc w:val="both"/>
      </w:pPr>
      <w:r>
        <w:rPr/>
        <w:t>Source: MSU Faculty Handbook section entitled “Appointment, Reappointment, Tenure, and Promotion Recommendations”</w:t>
        <w:tab/>
      </w:r>
      <w:r>
        <w:rPr>
          <w:spacing w:val="-1"/>
        </w:rPr>
        <w:t>(</w:t>
      </w:r>
      <w:r>
        <w:rPr>
          <w:spacing w:val="-1"/>
          <w:u w:val="single"/>
        </w:rPr>
        <w:t>https://hr.msu.edu/policies-procedures/faculty-academic-staff/faculty-</w:t>
      </w:r>
      <w:r>
        <w:rPr>
          <w:spacing w:val="-1"/>
        </w:rPr>
        <w:t> </w:t>
      </w:r>
      <w:r>
        <w:rPr>
          <w:u w:val="single"/>
        </w:rPr>
        <w:t>handbook/4Section-HR-Policies.html</w:t>
      </w:r>
      <w:r>
        <w:rPr/>
        <w:t>)</w:t>
      </w:r>
    </w:p>
    <w:p>
      <w:pPr>
        <w:pStyle w:val="BodyText"/>
        <w:spacing w:before="1"/>
        <w:rPr>
          <w:sz w:val="12"/>
        </w:rPr>
      </w:pPr>
    </w:p>
    <w:p>
      <w:pPr>
        <w:spacing w:after="0"/>
        <w:rPr>
          <w:sz w:val="12"/>
        </w:rPr>
        <w:sectPr>
          <w:type w:val="continuous"/>
          <w:pgSz w:w="12240" w:h="15840"/>
          <w:pgMar w:top="1500" w:bottom="280" w:left="460" w:right="1020"/>
        </w:sectPr>
      </w:pPr>
    </w:p>
    <w:p>
      <w:pPr>
        <w:pStyle w:val="BodyText"/>
      </w:pPr>
    </w:p>
    <w:p>
      <w:pPr>
        <w:spacing w:line="249" w:lineRule="auto" w:before="145"/>
        <w:ind w:left="297" w:right="0" w:firstLine="100"/>
        <w:jc w:val="left"/>
        <w:rPr>
          <w:rFonts w:ascii="Arial"/>
          <w:b/>
          <w:sz w:val="20"/>
        </w:rPr>
      </w:pPr>
      <w:r>
        <w:rPr>
          <w:rFonts w:ascii="Arial"/>
          <w:b/>
          <w:sz w:val="20"/>
        </w:rPr>
        <w:t>COLLEGE </w:t>
      </w:r>
      <w:r>
        <w:rPr>
          <w:rFonts w:ascii="Arial"/>
          <w:b/>
          <w:spacing w:val="-9"/>
          <w:sz w:val="20"/>
        </w:rPr>
        <w:t>OF </w:t>
      </w:r>
      <w:r>
        <w:rPr>
          <w:rFonts w:ascii="Arial"/>
          <w:b/>
          <w:spacing w:val="-2"/>
          <w:sz w:val="20"/>
        </w:rPr>
        <w:t>ENGINEERING</w:t>
      </w:r>
    </w:p>
    <w:p>
      <w:pPr>
        <w:pStyle w:val="BodyText"/>
        <w:rPr>
          <w:rFonts w:ascii="Arial"/>
          <w:b/>
        </w:rPr>
      </w:pPr>
    </w:p>
    <w:p>
      <w:pPr>
        <w:pStyle w:val="BodyText"/>
        <w:spacing w:before="9"/>
        <w:rPr>
          <w:rFonts w:ascii="Arial"/>
          <w:b/>
          <w:sz w:val="21"/>
        </w:rPr>
      </w:pPr>
    </w:p>
    <w:p>
      <w:pPr>
        <w:spacing w:line="249" w:lineRule="auto" w:before="0"/>
        <w:ind w:left="654" w:right="1" w:hanging="219"/>
        <w:jc w:val="right"/>
        <w:rPr>
          <w:rFonts w:ascii="Arial"/>
          <w:sz w:val="14"/>
        </w:rPr>
      </w:pPr>
      <w:r>
        <w:rPr>
          <w:rFonts w:ascii="Arial"/>
          <w:sz w:val="14"/>
        </w:rPr>
        <w:t>Engineering</w:t>
      </w:r>
      <w:r>
        <w:rPr>
          <w:rFonts w:ascii="Arial"/>
          <w:spacing w:val="-19"/>
          <w:sz w:val="14"/>
        </w:rPr>
        <w:t> </w:t>
      </w:r>
      <w:r>
        <w:rPr>
          <w:rFonts w:ascii="Arial"/>
          <w:sz w:val="14"/>
        </w:rPr>
        <w:t>College</w:t>
      </w:r>
      <w:r>
        <w:rPr>
          <w:rFonts w:ascii="Arial"/>
          <w:w w:val="99"/>
          <w:sz w:val="14"/>
        </w:rPr>
        <w:t> </w:t>
      </w:r>
      <w:r>
        <w:rPr>
          <w:rFonts w:ascii="Arial"/>
          <w:sz w:val="14"/>
        </w:rPr>
        <w:t>Advisory</w:t>
      </w:r>
      <w:r>
        <w:rPr>
          <w:rFonts w:ascii="Arial"/>
          <w:spacing w:val="-20"/>
          <w:sz w:val="14"/>
        </w:rPr>
        <w:t> </w:t>
      </w:r>
      <w:r>
        <w:rPr>
          <w:rFonts w:ascii="Arial"/>
          <w:sz w:val="14"/>
        </w:rPr>
        <w:t>Council</w:t>
      </w:r>
    </w:p>
    <w:p>
      <w:pPr>
        <w:pStyle w:val="BodyText"/>
        <w:rPr>
          <w:rFonts w:ascii="Arial"/>
          <w:sz w:val="14"/>
        </w:rPr>
      </w:pPr>
    </w:p>
    <w:p>
      <w:pPr>
        <w:pStyle w:val="BodyText"/>
        <w:rPr>
          <w:rFonts w:ascii="Arial"/>
          <w:sz w:val="14"/>
        </w:rPr>
      </w:pPr>
    </w:p>
    <w:p>
      <w:pPr>
        <w:pStyle w:val="BodyText"/>
        <w:spacing w:before="10"/>
        <w:rPr>
          <w:rFonts w:ascii="Arial"/>
          <w:sz w:val="15"/>
        </w:rPr>
      </w:pPr>
    </w:p>
    <w:p>
      <w:pPr>
        <w:spacing w:line="249" w:lineRule="auto" w:before="1"/>
        <w:ind w:left="249" w:right="0" w:hanging="132"/>
        <w:jc w:val="right"/>
        <w:rPr>
          <w:rFonts w:ascii="Arial"/>
          <w:sz w:val="14"/>
        </w:rPr>
      </w:pPr>
      <w:r>
        <w:rPr>
          <w:rFonts w:ascii="Arial"/>
          <w:sz w:val="14"/>
        </w:rPr>
        <w:t>Michigan</w:t>
      </w:r>
      <w:r>
        <w:rPr>
          <w:rFonts w:ascii="Arial"/>
          <w:spacing w:val="-5"/>
          <w:sz w:val="14"/>
        </w:rPr>
        <w:t> </w:t>
      </w:r>
      <w:r>
        <w:rPr>
          <w:rFonts w:ascii="Arial"/>
          <w:sz w:val="14"/>
        </w:rPr>
        <w:t>State</w:t>
      </w:r>
      <w:r>
        <w:rPr>
          <w:rFonts w:ascii="Arial"/>
          <w:spacing w:val="-4"/>
          <w:sz w:val="14"/>
        </w:rPr>
        <w:t> </w:t>
      </w:r>
      <w:r>
        <w:rPr>
          <w:rFonts w:ascii="Arial"/>
          <w:sz w:val="14"/>
        </w:rPr>
        <w:t>University</w:t>
      </w:r>
      <w:r>
        <w:rPr>
          <w:rFonts w:ascii="Arial"/>
          <w:w w:val="99"/>
          <w:sz w:val="14"/>
        </w:rPr>
        <w:t> </w:t>
      </w:r>
      <w:r>
        <w:rPr>
          <w:rFonts w:ascii="Arial"/>
          <w:sz w:val="14"/>
        </w:rPr>
        <w:t>428 S.</w:t>
      </w:r>
      <w:r>
        <w:rPr>
          <w:rFonts w:ascii="Arial"/>
          <w:spacing w:val="-4"/>
          <w:sz w:val="14"/>
        </w:rPr>
        <w:t> </w:t>
      </w:r>
      <w:r>
        <w:rPr>
          <w:rFonts w:ascii="Arial"/>
          <w:sz w:val="14"/>
        </w:rPr>
        <w:t>Shaw</w:t>
      </w:r>
      <w:r>
        <w:rPr>
          <w:rFonts w:ascii="Arial"/>
          <w:spacing w:val="-2"/>
          <w:sz w:val="14"/>
        </w:rPr>
        <w:t> </w:t>
      </w:r>
      <w:r>
        <w:rPr>
          <w:rFonts w:ascii="Arial"/>
          <w:sz w:val="14"/>
        </w:rPr>
        <w:t>Lane</w:t>
      </w:r>
      <w:r>
        <w:rPr>
          <w:rFonts w:ascii="Arial"/>
          <w:w w:val="99"/>
          <w:sz w:val="14"/>
        </w:rPr>
        <w:t> </w:t>
      </w:r>
      <w:r>
        <w:rPr>
          <w:rFonts w:ascii="Arial"/>
          <w:sz w:val="14"/>
        </w:rPr>
        <w:t>Engineering</w:t>
      </w:r>
      <w:r>
        <w:rPr>
          <w:rFonts w:ascii="Arial"/>
          <w:spacing w:val="-8"/>
          <w:sz w:val="14"/>
        </w:rPr>
        <w:t> </w:t>
      </w:r>
      <w:r>
        <w:rPr>
          <w:rFonts w:ascii="Arial"/>
          <w:sz w:val="14"/>
        </w:rPr>
        <w:t>Building</w:t>
      </w:r>
      <w:r>
        <w:rPr>
          <w:rFonts w:ascii="Arial"/>
          <w:w w:val="99"/>
          <w:sz w:val="14"/>
        </w:rPr>
        <w:t> </w:t>
      </w:r>
      <w:r>
        <w:rPr>
          <w:rFonts w:ascii="Arial"/>
          <w:sz w:val="14"/>
        </w:rPr>
        <w:t>East Lansing,</w:t>
      </w:r>
      <w:r>
        <w:rPr>
          <w:rFonts w:ascii="Arial"/>
          <w:spacing w:val="-19"/>
          <w:sz w:val="14"/>
        </w:rPr>
        <w:t> </w:t>
      </w:r>
      <w:r>
        <w:rPr>
          <w:rFonts w:ascii="Arial"/>
          <w:sz w:val="14"/>
        </w:rPr>
        <w:t>Michigan</w:t>
      </w:r>
    </w:p>
    <w:p>
      <w:pPr>
        <w:spacing w:before="2"/>
        <w:ind w:left="0" w:right="0" w:firstLine="0"/>
        <w:jc w:val="right"/>
        <w:rPr>
          <w:rFonts w:ascii="Arial"/>
          <w:sz w:val="14"/>
        </w:rPr>
      </w:pPr>
      <w:r>
        <w:rPr>
          <w:rFonts w:ascii="Arial"/>
          <w:spacing w:val="-1"/>
          <w:sz w:val="14"/>
        </w:rPr>
        <w:t>48824-1226</w:t>
      </w: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spacing w:line="249" w:lineRule="auto" w:before="105"/>
        <w:ind w:left="243" w:right="0" w:hanging="80"/>
        <w:jc w:val="right"/>
        <w:rPr>
          <w:rFonts w:ascii="Arial"/>
          <w:i/>
          <w:sz w:val="12"/>
        </w:rPr>
      </w:pPr>
      <w:r>
        <w:rPr>
          <w:rFonts w:ascii="Arial"/>
          <w:i/>
          <w:sz w:val="12"/>
        </w:rPr>
        <w:t>MSU is</w:t>
      </w:r>
      <w:r>
        <w:rPr>
          <w:rFonts w:ascii="Arial"/>
          <w:i/>
          <w:spacing w:val="-13"/>
          <w:sz w:val="12"/>
        </w:rPr>
        <w:t> </w:t>
      </w:r>
      <w:r>
        <w:rPr>
          <w:rFonts w:ascii="Arial"/>
          <w:i/>
          <w:sz w:val="12"/>
        </w:rPr>
        <w:t>an</w:t>
      </w:r>
      <w:r>
        <w:rPr>
          <w:rFonts w:ascii="Arial"/>
          <w:i/>
          <w:spacing w:val="-6"/>
          <w:sz w:val="12"/>
        </w:rPr>
        <w:t> </w:t>
      </w:r>
      <w:r>
        <w:rPr>
          <w:rFonts w:ascii="Arial"/>
          <w:i/>
          <w:sz w:val="12"/>
        </w:rPr>
        <w:t>affirmative-action,</w:t>
      </w:r>
      <w:r>
        <w:rPr>
          <w:rFonts w:ascii="Arial"/>
          <w:i/>
          <w:sz w:val="12"/>
        </w:rPr>
        <w:t> equal-opportunity</w:t>
      </w:r>
      <w:r>
        <w:rPr>
          <w:rFonts w:ascii="Arial"/>
          <w:i/>
          <w:spacing w:val="4"/>
          <w:sz w:val="12"/>
        </w:rPr>
        <w:t> </w:t>
      </w:r>
      <w:r>
        <w:rPr>
          <w:rFonts w:ascii="Arial"/>
          <w:i/>
          <w:spacing w:val="-3"/>
          <w:sz w:val="12"/>
        </w:rPr>
        <w:t>employer</w:t>
      </w:r>
    </w:p>
    <w:p>
      <w:pPr>
        <w:pStyle w:val="BodyText"/>
        <w:spacing w:before="93"/>
        <w:ind w:left="119" w:right="111"/>
        <w:jc w:val="both"/>
      </w:pPr>
      <w:r>
        <w:rPr/>
        <w:br w:type="column"/>
      </w:r>
      <w:r>
        <w:rPr/>
        <w:t>The Provost’s letter also seems to be proposing the addition of at least two new RPT standards that have not been included in the Faculty Handbook:</w:t>
      </w:r>
    </w:p>
    <w:p>
      <w:pPr>
        <w:pStyle w:val="Heading1"/>
        <w:numPr>
          <w:ilvl w:val="0"/>
          <w:numId w:val="1"/>
        </w:numPr>
        <w:tabs>
          <w:tab w:pos="315" w:val="left" w:leader="none"/>
        </w:tabs>
        <w:spacing w:line="240" w:lineRule="auto" w:before="0" w:after="0"/>
        <w:ind w:left="314" w:right="110" w:hanging="197"/>
        <w:jc w:val="both"/>
      </w:pPr>
      <w:r>
        <w:rPr>
          <w:u w:val="thick"/>
        </w:rPr>
        <w:t>Proposed Standard 7</w:t>
      </w:r>
      <w:r>
        <w:rPr/>
        <w:t>: “Diversity, Equity, and Inclusion (DEI) Efforts Related to Research/Scholarship/Creative/Performative Activities, Teaching Outreach, and Service”</w:t>
      </w:r>
      <w:r>
        <w:rPr>
          <w:spacing w:val="-1"/>
        </w:rPr>
        <w:t> </w:t>
      </w:r>
      <w:r>
        <w:rPr/>
        <w:t>and</w:t>
      </w:r>
    </w:p>
    <w:p>
      <w:pPr>
        <w:pStyle w:val="ListParagraph"/>
        <w:numPr>
          <w:ilvl w:val="0"/>
          <w:numId w:val="1"/>
        </w:numPr>
        <w:tabs>
          <w:tab w:pos="315" w:val="left" w:leader="none"/>
        </w:tabs>
        <w:spacing w:line="293" w:lineRule="exact" w:before="0" w:after="0"/>
        <w:ind w:left="314" w:right="0" w:hanging="198"/>
        <w:jc w:val="both"/>
        <w:rPr>
          <w:b/>
          <w:sz w:val="24"/>
        </w:rPr>
      </w:pPr>
      <w:r>
        <w:rPr>
          <w:b/>
          <w:sz w:val="24"/>
          <w:u w:val="thick"/>
        </w:rPr>
        <w:t>Proposed Standard 8</w:t>
      </w:r>
      <w:r>
        <w:rPr>
          <w:b/>
          <w:sz w:val="24"/>
        </w:rPr>
        <w:t>:  “Core Values Related to</w:t>
      </w:r>
      <w:r>
        <w:rPr>
          <w:b/>
          <w:spacing w:val="-11"/>
          <w:sz w:val="24"/>
        </w:rPr>
        <w:t> </w:t>
      </w:r>
      <w:r>
        <w:rPr>
          <w:b/>
          <w:sz w:val="24"/>
        </w:rPr>
        <w:t>Conduct.”</w:t>
      </w:r>
    </w:p>
    <w:p>
      <w:pPr>
        <w:pStyle w:val="BodyText"/>
        <w:spacing w:before="230"/>
        <w:ind w:left="119" w:right="108"/>
        <w:jc w:val="both"/>
      </w:pPr>
      <w:r>
        <w:rPr/>
        <w:t>The ECAC agrees that promoting DEI and core values related to conduct is important, and the Engineering College</w:t>
      </w:r>
      <w:r>
        <w:rPr>
          <w:spacing w:val="-16"/>
        </w:rPr>
        <w:t> </w:t>
      </w:r>
      <w:r>
        <w:rPr/>
        <w:t>has</w:t>
      </w:r>
      <w:r>
        <w:rPr>
          <w:spacing w:val="-15"/>
        </w:rPr>
        <w:t> </w:t>
      </w:r>
      <w:r>
        <w:rPr/>
        <w:t>made</w:t>
      </w:r>
      <w:r>
        <w:rPr>
          <w:spacing w:val="-15"/>
        </w:rPr>
        <w:t> </w:t>
      </w:r>
      <w:r>
        <w:rPr/>
        <w:t>significant</w:t>
      </w:r>
      <w:r>
        <w:rPr>
          <w:spacing w:val="-14"/>
        </w:rPr>
        <w:t> </w:t>
      </w:r>
      <w:r>
        <w:rPr/>
        <w:t>efforts</w:t>
      </w:r>
      <w:r>
        <w:rPr>
          <w:spacing w:val="-15"/>
        </w:rPr>
        <w:t> </w:t>
      </w:r>
      <w:r>
        <w:rPr/>
        <w:t>to</w:t>
      </w:r>
      <w:r>
        <w:rPr>
          <w:spacing w:val="-15"/>
        </w:rPr>
        <w:t> </w:t>
      </w:r>
      <w:r>
        <w:rPr/>
        <w:t>promote</w:t>
      </w:r>
      <w:r>
        <w:rPr>
          <w:spacing w:val="-15"/>
        </w:rPr>
        <w:t> </w:t>
      </w:r>
      <w:r>
        <w:rPr/>
        <w:t>both</w:t>
      </w:r>
      <w:r>
        <w:rPr>
          <w:spacing w:val="-15"/>
        </w:rPr>
        <w:t> </w:t>
      </w:r>
      <w:r>
        <w:rPr/>
        <w:t>DEI</w:t>
      </w:r>
      <w:r>
        <w:rPr>
          <w:spacing w:val="-15"/>
        </w:rPr>
        <w:t> </w:t>
      </w:r>
      <w:r>
        <w:rPr/>
        <w:t>and</w:t>
      </w:r>
      <w:r>
        <w:rPr>
          <w:spacing w:val="-15"/>
        </w:rPr>
        <w:t> </w:t>
      </w:r>
      <w:r>
        <w:rPr/>
        <w:t>academic</w:t>
      </w:r>
      <w:r>
        <w:rPr>
          <w:spacing w:val="-15"/>
        </w:rPr>
        <w:t> </w:t>
      </w:r>
      <w:r>
        <w:rPr/>
        <w:t>collegiality.</w:t>
      </w:r>
      <w:r>
        <w:rPr>
          <w:spacing w:val="22"/>
        </w:rPr>
        <w:t> </w:t>
      </w:r>
      <w:r>
        <w:rPr/>
        <w:t>In</w:t>
      </w:r>
      <w:r>
        <w:rPr>
          <w:spacing w:val="-15"/>
        </w:rPr>
        <w:t> </w:t>
      </w:r>
      <w:r>
        <w:rPr/>
        <w:t>June,</w:t>
      </w:r>
      <w:r>
        <w:rPr>
          <w:spacing w:val="-14"/>
        </w:rPr>
        <w:t> </w:t>
      </w:r>
      <w:r>
        <w:rPr/>
        <w:t>2018,</w:t>
      </w:r>
      <w:r>
        <w:rPr>
          <w:spacing w:val="-14"/>
        </w:rPr>
        <w:t> </w:t>
      </w:r>
      <w:r>
        <w:rPr/>
        <w:t>it</w:t>
      </w:r>
      <w:r>
        <w:rPr>
          <w:spacing w:val="-14"/>
        </w:rPr>
        <w:t> </w:t>
      </w:r>
      <w:r>
        <w:rPr/>
        <w:t>appointed its first </w:t>
      </w:r>
      <w:r>
        <w:rPr>
          <w:color w:val="0000FF"/>
          <w:u w:val="single" w:color="0000FF"/>
        </w:rPr>
        <w:t>Associate Dean for Inclusion and Diversity</w:t>
      </w:r>
      <w:r>
        <w:rPr/>
        <w:t>. It has also piloted the </w:t>
      </w:r>
      <w:r>
        <w:rPr>
          <w:color w:val="0000FF"/>
          <w:u w:val="single" w:color="0000FF"/>
        </w:rPr>
        <w:t>Dean’s Faculty Pathway Program</w:t>
      </w:r>
      <w:r>
        <w:rPr>
          <w:color w:val="0000FF"/>
        </w:rPr>
        <w:t> </w:t>
      </w:r>
      <w:r>
        <w:rPr/>
        <w:t>to</w:t>
      </w:r>
      <w:r>
        <w:rPr>
          <w:spacing w:val="-4"/>
        </w:rPr>
        <w:t> </w:t>
      </w:r>
      <w:r>
        <w:rPr/>
        <w:t>develop</w:t>
      </w:r>
      <w:r>
        <w:rPr>
          <w:spacing w:val="-3"/>
        </w:rPr>
        <w:t> </w:t>
      </w:r>
      <w:r>
        <w:rPr/>
        <w:t>a</w:t>
      </w:r>
      <w:r>
        <w:rPr>
          <w:spacing w:val="-3"/>
        </w:rPr>
        <w:t> </w:t>
      </w:r>
      <w:r>
        <w:rPr/>
        <w:t>pipeline</w:t>
      </w:r>
      <w:r>
        <w:rPr>
          <w:spacing w:val="-3"/>
        </w:rPr>
        <w:t> </w:t>
      </w:r>
      <w:r>
        <w:rPr/>
        <w:t>for</w:t>
      </w:r>
      <w:r>
        <w:rPr>
          <w:spacing w:val="-3"/>
        </w:rPr>
        <w:t> </w:t>
      </w:r>
      <w:r>
        <w:rPr/>
        <w:t>faculty</w:t>
      </w:r>
      <w:r>
        <w:rPr>
          <w:spacing w:val="-3"/>
        </w:rPr>
        <w:t> </w:t>
      </w:r>
      <w:r>
        <w:rPr/>
        <w:t>from</w:t>
      </w:r>
      <w:r>
        <w:rPr>
          <w:spacing w:val="-4"/>
        </w:rPr>
        <w:t> </w:t>
      </w:r>
      <w:r>
        <w:rPr/>
        <w:t>diverse</w:t>
      </w:r>
      <w:r>
        <w:rPr>
          <w:spacing w:val="-3"/>
        </w:rPr>
        <w:t> </w:t>
      </w:r>
      <w:r>
        <w:rPr/>
        <w:t>backgrounds,</w:t>
      </w:r>
      <w:r>
        <w:rPr>
          <w:spacing w:val="-3"/>
        </w:rPr>
        <w:t> </w:t>
      </w:r>
      <w:r>
        <w:rPr/>
        <w:t>dramatically</w:t>
      </w:r>
      <w:r>
        <w:rPr>
          <w:spacing w:val="-3"/>
        </w:rPr>
        <w:t> </w:t>
      </w:r>
      <w:r>
        <w:rPr/>
        <w:t>increased</w:t>
      </w:r>
      <w:r>
        <w:rPr>
          <w:spacing w:val="-3"/>
        </w:rPr>
        <w:t> </w:t>
      </w:r>
      <w:r>
        <w:rPr/>
        <w:t>the</w:t>
      </w:r>
      <w:r>
        <w:rPr>
          <w:spacing w:val="-3"/>
        </w:rPr>
        <w:t> </w:t>
      </w:r>
      <w:r>
        <w:rPr/>
        <w:t>ratio</w:t>
      </w:r>
      <w:r>
        <w:rPr>
          <w:spacing w:val="-3"/>
        </w:rPr>
        <w:t> </w:t>
      </w:r>
      <w:r>
        <w:rPr/>
        <w:t>of</w:t>
      </w:r>
      <w:r>
        <w:rPr>
          <w:spacing w:val="-3"/>
        </w:rPr>
        <w:t> </w:t>
      </w:r>
      <w:r>
        <w:rPr/>
        <w:t>women</w:t>
      </w:r>
      <w:r>
        <w:rPr>
          <w:spacing w:val="-3"/>
        </w:rPr>
        <w:t> </w:t>
      </w:r>
      <w:r>
        <w:rPr/>
        <w:t>faculty (40 percent in 2019 new hires), and won a </w:t>
      </w:r>
      <w:r>
        <w:rPr>
          <w:color w:val="0000FF"/>
          <w:u w:val="single" w:color="0000FF"/>
        </w:rPr>
        <w:t>Bronze Award from the American Society for Engineering</w:t>
      </w:r>
      <w:r>
        <w:rPr>
          <w:color w:val="0000FF"/>
        </w:rPr>
        <w:t> </w:t>
      </w:r>
      <w:r>
        <w:rPr>
          <w:color w:val="0000FF"/>
          <w:u w:val="single" w:color="0000FF"/>
        </w:rPr>
        <w:t>Education</w:t>
      </w:r>
      <w:r>
        <w:rPr>
          <w:color w:val="0000FF"/>
          <w:spacing w:val="-15"/>
          <w:u w:val="single" w:color="0000FF"/>
        </w:rPr>
        <w:t> </w:t>
      </w:r>
      <w:r>
        <w:rPr>
          <w:color w:val="0000FF"/>
          <w:u w:val="single" w:color="0000FF"/>
        </w:rPr>
        <w:t>(ASEE)</w:t>
      </w:r>
      <w:r>
        <w:rPr>
          <w:color w:val="0000FF"/>
          <w:spacing w:val="-14"/>
          <w:u w:val="single" w:color="0000FF"/>
        </w:rPr>
        <w:t> </w:t>
      </w:r>
      <w:r>
        <w:rPr>
          <w:color w:val="0000FF"/>
          <w:u w:val="single" w:color="0000FF"/>
        </w:rPr>
        <w:t>Diversity</w:t>
      </w:r>
      <w:r>
        <w:rPr>
          <w:color w:val="0000FF"/>
          <w:spacing w:val="-14"/>
          <w:u w:val="single" w:color="0000FF"/>
        </w:rPr>
        <w:t> </w:t>
      </w:r>
      <w:r>
        <w:rPr>
          <w:color w:val="0000FF"/>
          <w:u w:val="single" w:color="0000FF"/>
        </w:rPr>
        <w:t>Recognition</w:t>
      </w:r>
      <w:r>
        <w:rPr>
          <w:color w:val="0000FF"/>
          <w:spacing w:val="-14"/>
          <w:u w:val="single" w:color="0000FF"/>
        </w:rPr>
        <w:t> </w:t>
      </w:r>
      <w:r>
        <w:rPr>
          <w:color w:val="0000FF"/>
          <w:u w:val="single" w:color="0000FF"/>
        </w:rPr>
        <w:t>Program</w:t>
      </w:r>
      <w:r>
        <w:rPr>
          <w:color w:val="0000FF"/>
          <w:spacing w:val="-15"/>
        </w:rPr>
        <w:t> </w:t>
      </w:r>
      <w:r>
        <w:rPr/>
        <w:t>–</w:t>
      </w:r>
      <w:r>
        <w:rPr>
          <w:spacing w:val="-14"/>
        </w:rPr>
        <w:t> </w:t>
      </w:r>
      <w:r>
        <w:rPr/>
        <w:t>the</w:t>
      </w:r>
      <w:r>
        <w:rPr>
          <w:spacing w:val="-14"/>
        </w:rPr>
        <w:t> </w:t>
      </w:r>
      <w:r>
        <w:rPr/>
        <w:t>highest</w:t>
      </w:r>
      <w:r>
        <w:rPr>
          <w:spacing w:val="-14"/>
        </w:rPr>
        <w:t> </w:t>
      </w:r>
      <w:r>
        <w:rPr/>
        <w:t>level</w:t>
      </w:r>
      <w:r>
        <w:rPr>
          <w:spacing w:val="-13"/>
        </w:rPr>
        <w:t> </w:t>
      </w:r>
      <w:r>
        <w:rPr/>
        <w:t>of</w:t>
      </w:r>
      <w:r>
        <w:rPr>
          <w:spacing w:val="-14"/>
        </w:rPr>
        <w:t> </w:t>
      </w:r>
      <w:r>
        <w:rPr/>
        <w:t>recognition</w:t>
      </w:r>
      <w:r>
        <w:rPr>
          <w:spacing w:val="-14"/>
        </w:rPr>
        <w:t> </w:t>
      </w:r>
      <w:r>
        <w:rPr/>
        <w:t>presented</w:t>
      </w:r>
      <w:r>
        <w:rPr>
          <w:spacing w:val="-14"/>
        </w:rPr>
        <w:t> </w:t>
      </w:r>
      <w:r>
        <w:rPr/>
        <w:t>by</w:t>
      </w:r>
      <w:r>
        <w:rPr>
          <w:spacing w:val="-14"/>
        </w:rPr>
        <w:t> </w:t>
      </w:r>
      <w:r>
        <w:rPr/>
        <w:t>this</w:t>
      </w:r>
      <w:r>
        <w:rPr>
          <w:spacing w:val="-14"/>
        </w:rPr>
        <w:t> </w:t>
      </w:r>
      <w:r>
        <w:rPr/>
        <w:t>program. To</w:t>
      </w:r>
      <w:r>
        <w:rPr>
          <w:spacing w:val="-6"/>
        </w:rPr>
        <w:t> </w:t>
      </w:r>
      <w:r>
        <w:rPr/>
        <w:t>promote</w:t>
      </w:r>
      <w:r>
        <w:rPr>
          <w:spacing w:val="-5"/>
        </w:rPr>
        <w:t> </w:t>
      </w:r>
      <w:r>
        <w:rPr/>
        <w:t>collegiality,</w:t>
      </w:r>
      <w:r>
        <w:rPr>
          <w:spacing w:val="-5"/>
        </w:rPr>
        <w:t> </w:t>
      </w:r>
      <w:r>
        <w:rPr/>
        <w:t>in</w:t>
      </w:r>
      <w:r>
        <w:rPr>
          <w:spacing w:val="-6"/>
        </w:rPr>
        <w:t> </w:t>
      </w:r>
      <w:r>
        <w:rPr/>
        <w:t>2018,</w:t>
      </w:r>
      <w:r>
        <w:rPr>
          <w:spacing w:val="-5"/>
        </w:rPr>
        <w:t> </w:t>
      </w:r>
      <w:r>
        <w:rPr/>
        <w:t>the</w:t>
      </w:r>
      <w:r>
        <w:rPr>
          <w:spacing w:val="-5"/>
        </w:rPr>
        <w:t> </w:t>
      </w:r>
      <w:r>
        <w:rPr/>
        <w:t>ECAC</w:t>
      </w:r>
      <w:r>
        <w:rPr>
          <w:spacing w:val="-7"/>
        </w:rPr>
        <w:t> </w:t>
      </w:r>
      <w:r>
        <w:rPr/>
        <w:t>conducted</w:t>
      </w:r>
      <w:r>
        <w:rPr>
          <w:spacing w:val="-6"/>
        </w:rPr>
        <w:t> </w:t>
      </w:r>
      <w:r>
        <w:rPr/>
        <w:t>an</w:t>
      </w:r>
      <w:r>
        <w:rPr>
          <w:spacing w:val="-6"/>
        </w:rPr>
        <w:t> </w:t>
      </w:r>
      <w:r>
        <w:rPr/>
        <w:t>extensive</w:t>
      </w:r>
      <w:r>
        <w:rPr>
          <w:spacing w:val="-5"/>
        </w:rPr>
        <w:t> </w:t>
      </w:r>
      <w:r>
        <w:rPr/>
        <w:t>literature</w:t>
      </w:r>
      <w:r>
        <w:rPr>
          <w:spacing w:val="-5"/>
        </w:rPr>
        <w:t> </w:t>
      </w:r>
      <w:r>
        <w:rPr/>
        <w:t>review</w:t>
      </w:r>
      <w:r>
        <w:rPr>
          <w:spacing w:val="-6"/>
        </w:rPr>
        <w:t> </w:t>
      </w:r>
      <w:r>
        <w:rPr/>
        <w:t>on</w:t>
      </w:r>
      <w:r>
        <w:rPr>
          <w:spacing w:val="-6"/>
        </w:rPr>
        <w:t> </w:t>
      </w:r>
      <w:r>
        <w:rPr/>
        <w:t>academic</w:t>
      </w:r>
      <w:r>
        <w:rPr>
          <w:spacing w:val="-6"/>
        </w:rPr>
        <w:t> </w:t>
      </w:r>
      <w:r>
        <w:rPr/>
        <w:t>collegiality prior to adopting the following </w:t>
      </w:r>
      <w:r>
        <w:rPr>
          <w:b/>
        </w:rPr>
        <w:t>Engineering College Statement on</w:t>
      </w:r>
      <w:r>
        <w:rPr>
          <w:b/>
          <w:spacing w:val="-12"/>
        </w:rPr>
        <w:t> </w:t>
      </w:r>
      <w:r>
        <w:rPr>
          <w:b/>
        </w:rPr>
        <w:t>Collegiality</w:t>
      </w:r>
      <w:r>
        <w:rPr/>
        <w:t>:</w:t>
      </w:r>
    </w:p>
    <w:p>
      <w:pPr>
        <w:pStyle w:val="BodyText"/>
        <w:spacing w:before="2"/>
        <w:rPr>
          <w:sz w:val="21"/>
        </w:rPr>
      </w:pPr>
    </w:p>
    <w:p>
      <w:pPr>
        <w:spacing w:before="1"/>
        <w:ind w:left="119" w:right="377" w:firstLine="0"/>
        <w:jc w:val="both"/>
        <w:rPr>
          <w:rFonts w:ascii="Calibri" w:hAnsi="Calibri"/>
          <w:i/>
          <w:sz w:val="20"/>
        </w:rPr>
      </w:pPr>
      <w:r>
        <w:rPr>
          <w:rFonts w:ascii="Calibri" w:hAnsi="Calibri"/>
          <w:i/>
          <w:sz w:val="20"/>
        </w:rPr>
        <w:t>The</w:t>
      </w:r>
      <w:r>
        <w:rPr>
          <w:rFonts w:ascii="Calibri" w:hAnsi="Calibri"/>
          <w:i/>
          <w:spacing w:val="-14"/>
          <w:sz w:val="20"/>
        </w:rPr>
        <w:t> </w:t>
      </w:r>
      <w:r>
        <w:rPr>
          <w:rFonts w:ascii="Calibri" w:hAnsi="Calibri"/>
          <w:i/>
          <w:sz w:val="20"/>
        </w:rPr>
        <w:t>College</w:t>
      </w:r>
      <w:r>
        <w:rPr>
          <w:rFonts w:ascii="Calibri" w:hAnsi="Calibri"/>
          <w:i/>
          <w:spacing w:val="-13"/>
          <w:sz w:val="20"/>
        </w:rPr>
        <w:t> </w:t>
      </w:r>
      <w:r>
        <w:rPr>
          <w:rFonts w:ascii="Calibri" w:hAnsi="Calibri"/>
          <w:i/>
          <w:sz w:val="20"/>
        </w:rPr>
        <w:t>of</w:t>
      </w:r>
      <w:r>
        <w:rPr>
          <w:rFonts w:ascii="Calibri" w:hAnsi="Calibri"/>
          <w:i/>
          <w:spacing w:val="-13"/>
          <w:sz w:val="20"/>
        </w:rPr>
        <w:t> </w:t>
      </w:r>
      <w:r>
        <w:rPr>
          <w:rFonts w:ascii="Calibri" w:hAnsi="Calibri"/>
          <w:i/>
          <w:sz w:val="20"/>
        </w:rPr>
        <w:t>Engineering’s</w:t>
      </w:r>
      <w:r>
        <w:rPr>
          <w:rFonts w:ascii="Calibri" w:hAnsi="Calibri"/>
          <w:i/>
          <w:spacing w:val="-13"/>
          <w:sz w:val="20"/>
        </w:rPr>
        <w:t> </w:t>
      </w:r>
      <w:r>
        <w:rPr>
          <w:rFonts w:ascii="Calibri" w:hAnsi="Calibri"/>
          <w:i/>
          <w:sz w:val="20"/>
        </w:rPr>
        <w:t>primary</w:t>
      </w:r>
      <w:r>
        <w:rPr>
          <w:rFonts w:ascii="Calibri" w:hAnsi="Calibri"/>
          <w:i/>
          <w:spacing w:val="-13"/>
          <w:sz w:val="20"/>
        </w:rPr>
        <w:t> </w:t>
      </w:r>
      <w:r>
        <w:rPr>
          <w:rFonts w:ascii="Calibri" w:hAnsi="Calibri"/>
          <w:i/>
          <w:sz w:val="20"/>
        </w:rPr>
        <w:t>goals</w:t>
      </w:r>
      <w:r>
        <w:rPr>
          <w:rFonts w:ascii="Calibri" w:hAnsi="Calibri"/>
          <w:i/>
          <w:spacing w:val="-13"/>
          <w:sz w:val="20"/>
        </w:rPr>
        <w:t> </w:t>
      </w:r>
      <w:r>
        <w:rPr>
          <w:rFonts w:ascii="Calibri" w:hAnsi="Calibri"/>
          <w:i/>
          <w:sz w:val="20"/>
        </w:rPr>
        <w:t>are</w:t>
      </w:r>
      <w:r>
        <w:rPr>
          <w:rFonts w:ascii="Calibri" w:hAnsi="Calibri"/>
          <w:i/>
          <w:spacing w:val="-13"/>
          <w:sz w:val="20"/>
        </w:rPr>
        <w:t> </w:t>
      </w:r>
      <w:r>
        <w:rPr>
          <w:rFonts w:ascii="Calibri" w:hAnsi="Calibri"/>
          <w:i/>
          <w:sz w:val="20"/>
        </w:rPr>
        <w:t>to</w:t>
      </w:r>
      <w:r>
        <w:rPr>
          <w:rFonts w:ascii="Calibri" w:hAnsi="Calibri"/>
          <w:i/>
          <w:spacing w:val="-13"/>
          <w:sz w:val="20"/>
        </w:rPr>
        <w:t> </w:t>
      </w:r>
      <w:r>
        <w:rPr>
          <w:rFonts w:ascii="Calibri" w:hAnsi="Calibri"/>
          <w:i/>
          <w:sz w:val="20"/>
        </w:rPr>
        <w:t>advance,</w:t>
      </w:r>
      <w:r>
        <w:rPr>
          <w:rFonts w:ascii="Calibri" w:hAnsi="Calibri"/>
          <w:i/>
          <w:spacing w:val="-13"/>
          <w:sz w:val="20"/>
        </w:rPr>
        <w:t> </w:t>
      </w:r>
      <w:r>
        <w:rPr>
          <w:rFonts w:ascii="Calibri" w:hAnsi="Calibri"/>
          <w:i/>
          <w:sz w:val="20"/>
        </w:rPr>
        <w:t>disseminate,</w:t>
      </w:r>
      <w:r>
        <w:rPr>
          <w:rFonts w:ascii="Calibri" w:hAnsi="Calibri"/>
          <w:i/>
          <w:spacing w:val="-14"/>
          <w:sz w:val="20"/>
        </w:rPr>
        <w:t> </w:t>
      </w:r>
      <w:r>
        <w:rPr>
          <w:rFonts w:ascii="Calibri" w:hAnsi="Calibri"/>
          <w:i/>
          <w:sz w:val="20"/>
        </w:rPr>
        <w:t>and</w:t>
      </w:r>
      <w:r>
        <w:rPr>
          <w:rFonts w:ascii="Calibri" w:hAnsi="Calibri"/>
          <w:i/>
          <w:spacing w:val="-13"/>
          <w:sz w:val="20"/>
        </w:rPr>
        <w:t> </w:t>
      </w:r>
      <w:r>
        <w:rPr>
          <w:rFonts w:ascii="Calibri" w:hAnsi="Calibri"/>
          <w:i/>
          <w:sz w:val="20"/>
        </w:rPr>
        <w:t>apply</w:t>
      </w:r>
      <w:r>
        <w:rPr>
          <w:rFonts w:ascii="Calibri" w:hAnsi="Calibri"/>
          <w:i/>
          <w:spacing w:val="-13"/>
          <w:sz w:val="20"/>
        </w:rPr>
        <w:t> </w:t>
      </w:r>
      <w:r>
        <w:rPr>
          <w:rFonts w:ascii="Calibri" w:hAnsi="Calibri"/>
          <w:i/>
          <w:sz w:val="20"/>
        </w:rPr>
        <w:t>engineering</w:t>
      </w:r>
      <w:r>
        <w:rPr>
          <w:rFonts w:ascii="Calibri" w:hAnsi="Calibri"/>
          <w:i/>
          <w:spacing w:val="-13"/>
          <w:sz w:val="20"/>
        </w:rPr>
        <w:t> </w:t>
      </w:r>
      <w:r>
        <w:rPr>
          <w:rFonts w:ascii="Calibri" w:hAnsi="Calibri"/>
          <w:i/>
          <w:sz w:val="20"/>
        </w:rPr>
        <w:t>knowledge. </w:t>
      </w:r>
      <w:r>
        <w:rPr>
          <w:rFonts w:ascii="Calibri" w:hAnsi="Calibri"/>
          <w:i/>
          <w:sz w:val="20"/>
        </w:rPr>
        <w:t>Achieving these goals requires adherence to ethical guidelines, such as those published by national professional societies for engineering education and practice. It also requires freedom of expression, so the merits of competing ideas can be compared through reasoned discourse. The College expects respectful, cooperative, and constructive interactions among its faculty, staff, and students as they advance the College’s research, instruction, and service</w:t>
      </w:r>
      <w:r>
        <w:rPr>
          <w:rFonts w:ascii="Calibri" w:hAnsi="Calibri"/>
          <w:i/>
          <w:spacing w:val="-9"/>
          <w:sz w:val="20"/>
        </w:rPr>
        <w:t> </w:t>
      </w:r>
      <w:r>
        <w:rPr>
          <w:rFonts w:ascii="Calibri" w:hAnsi="Calibri"/>
          <w:i/>
          <w:sz w:val="20"/>
        </w:rPr>
        <w:t>missions.</w:t>
      </w:r>
    </w:p>
    <w:p>
      <w:pPr>
        <w:spacing w:after="0"/>
        <w:jc w:val="both"/>
        <w:rPr>
          <w:rFonts w:ascii="Calibri" w:hAnsi="Calibri"/>
          <w:sz w:val="20"/>
        </w:rPr>
        <w:sectPr>
          <w:type w:val="continuous"/>
          <w:pgSz w:w="12240" w:h="15840"/>
          <w:pgMar w:top="1500" w:bottom="280" w:left="460" w:right="1020"/>
          <w:cols w:num="2" w:equalWidth="0">
            <w:col w:w="1699" w:space="66"/>
            <w:col w:w="8995"/>
          </w:cols>
        </w:sectPr>
      </w:pPr>
    </w:p>
    <w:p>
      <w:pPr>
        <w:pStyle w:val="BodyText"/>
        <w:spacing w:before="190"/>
        <w:ind w:left="1359" w:right="109"/>
        <w:jc w:val="both"/>
      </w:pPr>
      <w:r>
        <w:rPr/>
        <w:t>The</w:t>
      </w:r>
      <w:r>
        <w:rPr>
          <w:spacing w:val="-12"/>
        </w:rPr>
        <w:t> </w:t>
      </w:r>
      <w:r>
        <w:rPr/>
        <w:t>ECAC</w:t>
      </w:r>
      <w:r>
        <w:rPr>
          <w:spacing w:val="-13"/>
        </w:rPr>
        <w:t> </w:t>
      </w:r>
      <w:r>
        <w:rPr/>
        <w:t>also</w:t>
      </w:r>
      <w:r>
        <w:rPr>
          <w:spacing w:val="-12"/>
        </w:rPr>
        <w:t> </w:t>
      </w:r>
      <w:r>
        <w:rPr/>
        <w:t>shares</w:t>
      </w:r>
      <w:r>
        <w:rPr>
          <w:spacing w:val="-12"/>
        </w:rPr>
        <w:t> </w:t>
      </w:r>
      <w:r>
        <w:rPr/>
        <w:t>the</w:t>
      </w:r>
      <w:r>
        <w:rPr>
          <w:spacing w:val="-11"/>
        </w:rPr>
        <w:t> </w:t>
      </w:r>
      <w:r>
        <w:rPr/>
        <w:t>Provost’s</w:t>
      </w:r>
      <w:r>
        <w:rPr>
          <w:spacing w:val="-12"/>
        </w:rPr>
        <w:t> </w:t>
      </w:r>
      <w:r>
        <w:rPr/>
        <w:t>stated</w:t>
      </w:r>
      <w:r>
        <w:rPr>
          <w:spacing w:val="-12"/>
        </w:rPr>
        <w:t> </w:t>
      </w:r>
      <w:r>
        <w:rPr/>
        <w:t>goals</w:t>
      </w:r>
      <w:r>
        <w:rPr>
          <w:spacing w:val="-12"/>
        </w:rPr>
        <w:t> </w:t>
      </w:r>
      <w:r>
        <w:rPr/>
        <w:t>of</w:t>
      </w:r>
      <w:r>
        <w:rPr>
          <w:spacing w:val="-12"/>
        </w:rPr>
        <w:t> </w:t>
      </w:r>
      <w:r>
        <w:rPr/>
        <w:t>“allowing</w:t>
      </w:r>
      <w:r>
        <w:rPr>
          <w:spacing w:val="-11"/>
        </w:rPr>
        <w:t> </w:t>
      </w:r>
      <w:r>
        <w:rPr/>
        <w:t>scholars</w:t>
      </w:r>
      <w:r>
        <w:rPr>
          <w:spacing w:val="-12"/>
        </w:rPr>
        <w:t> </w:t>
      </w:r>
      <w:r>
        <w:rPr/>
        <w:t>the</w:t>
      </w:r>
      <w:r>
        <w:rPr>
          <w:spacing w:val="-12"/>
        </w:rPr>
        <w:t> </w:t>
      </w:r>
      <w:r>
        <w:rPr/>
        <w:t>freedom</w:t>
      </w:r>
      <w:r>
        <w:rPr>
          <w:spacing w:val="-13"/>
        </w:rPr>
        <w:t> </w:t>
      </w:r>
      <w:r>
        <w:rPr/>
        <w:t>to</w:t>
      </w:r>
      <w:r>
        <w:rPr>
          <w:spacing w:val="-12"/>
        </w:rPr>
        <w:t> </w:t>
      </w:r>
      <w:r>
        <w:rPr/>
        <w:t>explore</w:t>
      </w:r>
      <w:r>
        <w:rPr>
          <w:spacing w:val="-11"/>
        </w:rPr>
        <w:t> </w:t>
      </w:r>
      <w:r>
        <w:rPr/>
        <w:t>and</w:t>
      </w:r>
      <w:r>
        <w:rPr>
          <w:spacing w:val="-12"/>
        </w:rPr>
        <w:t> </w:t>
      </w:r>
      <w:r>
        <w:rPr/>
        <w:t>express</w:t>
      </w:r>
      <w:r>
        <w:rPr>
          <w:spacing w:val="-12"/>
        </w:rPr>
        <w:t> </w:t>
      </w:r>
      <w:r>
        <w:rPr/>
        <w:t>themselves in their work in ways that could be antithetical to present knowledge” and the RPT mandate that “faculty must demonstrate substantive and sustainable achievement in research, teaching, and service, and the infusion of their scholarship</w:t>
      </w:r>
      <w:r>
        <w:rPr>
          <w:spacing w:val="-4"/>
        </w:rPr>
        <w:t> </w:t>
      </w:r>
      <w:r>
        <w:rPr/>
        <w:t>into</w:t>
      </w:r>
      <w:r>
        <w:rPr>
          <w:spacing w:val="-3"/>
        </w:rPr>
        <w:t> </w:t>
      </w:r>
      <w:r>
        <w:rPr/>
        <w:t>outreach</w:t>
      </w:r>
      <w:r>
        <w:rPr>
          <w:spacing w:val="-4"/>
        </w:rPr>
        <w:t> </w:t>
      </w:r>
      <w:r>
        <w:rPr/>
        <w:t>and</w:t>
      </w:r>
      <w:r>
        <w:rPr>
          <w:spacing w:val="-3"/>
        </w:rPr>
        <w:t> </w:t>
      </w:r>
      <w:r>
        <w:rPr/>
        <w:t>engagement</w:t>
      </w:r>
      <w:r>
        <w:rPr>
          <w:spacing w:val="-2"/>
        </w:rPr>
        <w:t> </w:t>
      </w:r>
      <w:r>
        <w:rPr/>
        <w:t>efforts,</w:t>
      </w:r>
      <w:r>
        <w:rPr>
          <w:spacing w:val="-3"/>
        </w:rPr>
        <w:t> </w:t>
      </w:r>
      <w:r>
        <w:rPr/>
        <w:t>when</w:t>
      </w:r>
      <w:r>
        <w:rPr>
          <w:spacing w:val="-3"/>
        </w:rPr>
        <w:t> </w:t>
      </w:r>
      <w:r>
        <w:rPr/>
        <w:t>applicable”,</w:t>
      </w:r>
      <w:r>
        <w:rPr>
          <w:spacing w:val="-2"/>
        </w:rPr>
        <w:t> </w:t>
      </w:r>
      <w:r>
        <w:rPr/>
        <w:t>among</w:t>
      </w:r>
      <w:r>
        <w:rPr>
          <w:spacing w:val="-4"/>
        </w:rPr>
        <w:t> </w:t>
      </w:r>
      <w:r>
        <w:rPr/>
        <w:t>the</w:t>
      </w:r>
      <w:r>
        <w:rPr>
          <w:spacing w:val="-3"/>
        </w:rPr>
        <w:t> </w:t>
      </w:r>
      <w:r>
        <w:rPr/>
        <w:t>many</w:t>
      </w:r>
      <w:r>
        <w:rPr>
          <w:spacing w:val="-4"/>
        </w:rPr>
        <w:t> </w:t>
      </w:r>
      <w:r>
        <w:rPr/>
        <w:t>other</w:t>
      </w:r>
      <w:r>
        <w:rPr>
          <w:spacing w:val="-3"/>
        </w:rPr>
        <w:t> </w:t>
      </w:r>
      <w:r>
        <w:rPr/>
        <w:t>aspirational</w:t>
      </w:r>
      <w:r>
        <w:rPr>
          <w:spacing w:val="-2"/>
        </w:rPr>
        <w:t> </w:t>
      </w:r>
      <w:r>
        <w:rPr/>
        <w:t>goals</w:t>
      </w:r>
      <w:r>
        <w:rPr>
          <w:spacing w:val="-5"/>
        </w:rPr>
        <w:t> </w:t>
      </w:r>
      <w:r>
        <w:rPr/>
        <w:t>stated in the Provost’s</w:t>
      </w:r>
      <w:r>
        <w:rPr>
          <w:spacing w:val="-4"/>
        </w:rPr>
        <w:t> </w:t>
      </w:r>
      <w:r>
        <w:rPr/>
        <w:t>letter.</w:t>
      </w:r>
    </w:p>
    <w:p>
      <w:pPr>
        <w:pStyle w:val="BodyText"/>
        <w:spacing w:before="9"/>
        <w:rPr>
          <w:sz w:val="19"/>
        </w:rPr>
      </w:pPr>
    </w:p>
    <w:p>
      <w:pPr>
        <w:pStyle w:val="BodyText"/>
        <w:ind w:left="1359" w:right="110"/>
        <w:jc w:val="both"/>
      </w:pPr>
      <w:r>
        <w:rPr/>
        <w:t>It is in this spirit that the ECAC brings to the Faculty Senate the following questions about the proposed new RPT standards.</w:t>
      </w:r>
      <w:r>
        <w:rPr>
          <w:spacing w:val="-10"/>
        </w:rPr>
        <w:t> </w:t>
      </w:r>
      <w:r>
        <w:rPr/>
        <w:t>The</w:t>
      </w:r>
      <w:r>
        <w:rPr>
          <w:spacing w:val="-10"/>
        </w:rPr>
        <w:t> </w:t>
      </w:r>
      <w:r>
        <w:rPr/>
        <w:t>questions</w:t>
      </w:r>
      <w:r>
        <w:rPr>
          <w:spacing w:val="-10"/>
        </w:rPr>
        <w:t> </w:t>
      </w:r>
      <w:r>
        <w:rPr/>
        <w:t>relate</w:t>
      </w:r>
      <w:r>
        <w:rPr>
          <w:spacing w:val="-10"/>
        </w:rPr>
        <w:t> </w:t>
      </w:r>
      <w:r>
        <w:rPr/>
        <w:t>to</w:t>
      </w:r>
      <w:r>
        <w:rPr>
          <w:spacing w:val="-10"/>
        </w:rPr>
        <w:t> </w:t>
      </w:r>
      <w:r>
        <w:rPr/>
        <w:t>both</w:t>
      </w:r>
      <w:r>
        <w:rPr>
          <w:spacing w:val="-10"/>
        </w:rPr>
        <w:t> </w:t>
      </w:r>
      <w:r>
        <w:rPr/>
        <w:t>a</w:t>
      </w:r>
      <w:r>
        <w:rPr>
          <w:spacing w:val="-11"/>
        </w:rPr>
        <w:t> </w:t>
      </w:r>
      <w:r>
        <w:rPr/>
        <w:t>general</w:t>
      </w:r>
      <w:r>
        <w:rPr>
          <w:spacing w:val="-10"/>
        </w:rPr>
        <w:t> </w:t>
      </w:r>
      <w:r>
        <w:rPr/>
        <w:t>interpretation</w:t>
      </w:r>
      <w:r>
        <w:rPr>
          <w:spacing w:val="-10"/>
        </w:rPr>
        <w:t> </w:t>
      </w:r>
      <w:r>
        <w:rPr/>
        <w:t>of</w:t>
      </w:r>
      <w:r>
        <w:rPr>
          <w:spacing w:val="-10"/>
        </w:rPr>
        <w:t> </w:t>
      </w:r>
      <w:r>
        <w:rPr/>
        <w:t>the</w:t>
      </w:r>
      <w:r>
        <w:rPr>
          <w:spacing w:val="-11"/>
        </w:rPr>
        <w:t> </w:t>
      </w:r>
      <w:r>
        <w:rPr/>
        <w:t>new</w:t>
      </w:r>
      <w:r>
        <w:rPr>
          <w:spacing w:val="-11"/>
        </w:rPr>
        <w:t> </w:t>
      </w:r>
      <w:r>
        <w:rPr/>
        <w:t>standards</w:t>
      </w:r>
      <w:r>
        <w:rPr>
          <w:spacing w:val="-10"/>
        </w:rPr>
        <w:t> </w:t>
      </w:r>
      <w:r>
        <w:rPr/>
        <w:t>as</w:t>
      </w:r>
      <w:r>
        <w:rPr>
          <w:spacing w:val="-10"/>
        </w:rPr>
        <w:t> </w:t>
      </w:r>
      <w:r>
        <w:rPr/>
        <w:t>well</w:t>
      </w:r>
      <w:r>
        <w:rPr>
          <w:spacing w:val="-10"/>
        </w:rPr>
        <w:t> </w:t>
      </w:r>
      <w:r>
        <w:rPr/>
        <w:t>as</w:t>
      </w:r>
      <w:r>
        <w:rPr>
          <w:spacing w:val="-9"/>
        </w:rPr>
        <w:t> </w:t>
      </w:r>
      <w:r>
        <w:rPr/>
        <w:t>specific</w:t>
      </w:r>
      <w:r>
        <w:rPr>
          <w:spacing w:val="-10"/>
        </w:rPr>
        <w:t> </w:t>
      </w:r>
      <w:r>
        <w:rPr/>
        <w:t>concerns</w:t>
      </w:r>
      <w:r>
        <w:rPr>
          <w:spacing w:val="-10"/>
        </w:rPr>
        <w:t> </w:t>
      </w:r>
      <w:r>
        <w:rPr/>
        <w:t>about their</w:t>
      </w:r>
      <w:r>
        <w:rPr>
          <w:spacing w:val="-2"/>
        </w:rPr>
        <w:t> </w:t>
      </w:r>
      <w:r>
        <w:rPr/>
        <w:t>implementation.</w:t>
      </w:r>
    </w:p>
    <w:p>
      <w:pPr>
        <w:pStyle w:val="BodyText"/>
        <w:spacing w:before="1"/>
      </w:pPr>
    </w:p>
    <w:p>
      <w:pPr>
        <w:spacing w:before="0"/>
        <w:ind w:left="1359" w:right="110" w:firstLine="0"/>
        <w:jc w:val="both"/>
        <w:rPr>
          <w:sz w:val="20"/>
        </w:rPr>
      </w:pPr>
      <w:r>
        <w:rPr>
          <w:b/>
          <w:sz w:val="20"/>
          <w:u w:val="single"/>
        </w:rPr>
        <w:t>Question 1</w:t>
      </w:r>
      <w:r>
        <w:rPr>
          <w:b/>
          <w:sz w:val="20"/>
        </w:rPr>
        <w:t>: Is it reasonable for current tenure-track faculty to be subjected to new evaluation standards late in a tenure-track faculty member’s performance period? </w:t>
      </w:r>
      <w:r>
        <w:rPr>
          <w:sz w:val="20"/>
        </w:rPr>
        <w:t>Candidates for promotion to full professor who came to MSU as assistant professors would typically have been following the Faculty Handbook’s official guidance that did not include these new standards for about ten years.</w:t>
      </w:r>
    </w:p>
    <w:p>
      <w:pPr>
        <w:pStyle w:val="BodyText"/>
        <w:spacing w:before="2"/>
      </w:pPr>
    </w:p>
    <w:p>
      <w:pPr>
        <w:pStyle w:val="BodyText"/>
        <w:spacing w:before="1"/>
        <w:ind w:left="1359" w:right="106"/>
        <w:jc w:val="both"/>
      </w:pPr>
      <w:r>
        <w:rPr/>
        <w:t>The traditional evaluation standards of research, teaching, and service have a substantial objective backing, because both effort and outcome can be measured using quantitative metrics. Metrics for research include proposals, grants, publications,</w:t>
      </w:r>
      <w:r>
        <w:rPr>
          <w:spacing w:val="-13"/>
        </w:rPr>
        <w:t> </w:t>
      </w:r>
      <w:r>
        <w:rPr/>
        <w:t>citations,</w:t>
      </w:r>
      <w:r>
        <w:rPr>
          <w:spacing w:val="-13"/>
        </w:rPr>
        <w:t> </w:t>
      </w:r>
      <w:r>
        <w:rPr/>
        <w:t>invited</w:t>
      </w:r>
      <w:r>
        <w:rPr>
          <w:spacing w:val="-13"/>
        </w:rPr>
        <w:t> </w:t>
      </w:r>
      <w:r>
        <w:rPr/>
        <w:t>seminars,</w:t>
      </w:r>
      <w:r>
        <w:rPr>
          <w:spacing w:val="-13"/>
        </w:rPr>
        <w:t> </w:t>
      </w:r>
      <w:r>
        <w:rPr/>
        <w:t>etc.;</w:t>
      </w:r>
      <w:r>
        <w:rPr>
          <w:spacing w:val="-12"/>
        </w:rPr>
        <w:t> </w:t>
      </w:r>
      <w:r>
        <w:rPr/>
        <w:t>metrics</w:t>
      </w:r>
      <w:r>
        <w:rPr>
          <w:spacing w:val="-13"/>
        </w:rPr>
        <w:t> </w:t>
      </w:r>
      <w:r>
        <w:rPr/>
        <w:t>for</w:t>
      </w:r>
      <w:r>
        <w:rPr>
          <w:spacing w:val="-12"/>
        </w:rPr>
        <w:t> </w:t>
      </w:r>
      <w:r>
        <w:rPr/>
        <w:t>teaching</w:t>
      </w:r>
      <w:r>
        <w:rPr>
          <w:spacing w:val="-14"/>
        </w:rPr>
        <w:t> </w:t>
      </w:r>
      <w:r>
        <w:rPr/>
        <w:t>include</w:t>
      </w:r>
      <w:r>
        <w:rPr>
          <w:spacing w:val="-13"/>
        </w:rPr>
        <w:t> </w:t>
      </w:r>
      <w:r>
        <w:rPr/>
        <w:t>courses</w:t>
      </w:r>
      <w:r>
        <w:rPr>
          <w:spacing w:val="-13"/>
        </w:rPr>
        <w:t> </w:t>
      </w:r>
      <w:r>
        <w:rPr/>
        <w:t>developed</w:t>
      </w:r>
      <w:r>
        <w:rPr>
          <w:spacing w:val="-13"/>
        </w:rPr>
        <w:t> </w:t>
      </w:r>
      <w:r>
        <w:rPr/>
        <w:t>and</w:t>
      </w:r>
      <w:r>
        <w:rPr>
          <w:spacing w:val="-14"/>
        </w:rPr>
        <w:t> </w:t>
      </w:r>
      <w:r>
        <w:rPr/>
        <w:t>taught,</w:t>
      </w:r>
      <w:r>
        <w:rPr>
          <w:spacing w:val="-12"/>
        </w:rPr>
        <w:t> </w:t>
      </w:r>
      <w:r>
        <w:rPr/>
        <w:t>SIRS</w:t>
      </w:r>
      <w:r>
        <w:rPr>
          <w:spacing w:val="-14"/>
        </w:rPr>
        <w:t> </w:t>
      </w:r>
      <w:r>
        <w:rPr/>
        <w:t>scores, students mentored, etc.; and metrics for service include committee appointments, journal editorships and reviews, outreach and extension activities, etc. The Provost’s letter, however, does not identify such metrics for proposed standards 7 and 8, thereby making them highly subjective. Furthermore, only “working definitions” of diversity, equity, and inclusion, are available on an MSU website (</w:t>
      </w:r>
      <w:r>
        <w:rPr>
          <w:color w:val="0000FF"/>
          <w:u w:val="single" w:color="0000FF"/>
        </w:rPr>
        <w:t>https://president.msu.edu/initiatives/dei-plan/dei-working-</w:t>
      </w:r>
      <w:r>
        <w:rPr>
          <w:color w:val="0000FF"/>
        </w:rPr>
        <w:t> </w:t>
      </w:r>
      <w:r>
        <w:rPr>
          <w:color w:val="0000FF"/>
          <w:u w:val="single" w:color="0000FF"/>
        </w:rPr>
        <w:t>definitions.html</w:t>
      </w:r>
      <w:r>
        <w:rPr/>
        <w:t>); these seem to be more aspirational than advisory in nature. Thus, they provide limited guidance for both tenure-track faculty members’ efforts to document DEI contributions and RPT evaluators’ efforts to assess those</w:t>
      </w:r>
      <w:r>
        <w:rPr>
          <w:spacing w:val="-2"/>
        </w:rPr>
        <w:t> </w:t>
      </w:r>
      <w:r>
        <w:rPr/>
        <w:t>contributions.</w:t>
      </w:r>
    </w:p>
    <w:p>
      <w:pPr>
        <w:pStyle w:val="BodyText"/>
        <w:spacing w:before="11"/>
        <w:rPr>
          <w:sz w:val="19"/>
        </w:rPr>
      </w:pPr>
    </w:p>
    <w:p>
      <w:pPr>
        <w:pStyle w:val="BodyText"/>
        <w:ind w:left="1359" w:right="109"/>
        <w:jc w:val="both"/>
      </w:pPr>
      <w:r>
        <w:rPr/>
        <w:t>The ECAC recognizes that a purely quantitative approach makes little allowance for special considerations and extraordinary achievements that do not readily fit into </w:t>
      </w:r>
      <w:r>
        <w:rPr>
          <w:i/>
        </w:rPr>
        <w:t>a priori </w:t>
      </w:r>
      <w:r>
        <w:rPr/>
        <w:t>classification bins. Form D’s reflective essay, however, provides the necessary opportunity for explaining and heralding these important aspects of a faculty member’s</w:t>
      </w:r>
      <w:r>
        <w:rPr>
          <w:spacing w:val="-8"/>
        </w:rPr>
        <w:t> </w:t>
      </w:r>
      <w:r>
        <w:rPr/>
        <w:t>record</w:t>
      </w:r>
      <w:r>
        <w:rPr>
          <w:spacing w:val="-8"/>
        </w:rPr>
        <w:t> </w:t>
      </w:r>
      <w:r>
        <w:rPr/>
        <w:t>without</w:t>
      </w:r>
      <w:r>
        <w:rPr>
          <w:spacing w:val="-8"/>
        </w:rPr>
        <w:t> </w:t>
      </w:r>
      <w:r>
        <w:rPr/>
        <w:t>the</w:t>
      </w:r>
      <w:r>
        <w:rPr>
          <w:spacing w:val="-8"/>
        </w:rPr>
        <w:t> </w:t>
      </w:r>
      <w:r>
        <w:rPr/>
        <w:t>need</w:t>
      </w:r>
      <w:r>
        <w:rPr>
          <w:spacing w:val="-7"/>
        </w:rPr>
        <w:t> </w:t>
      </w:r>
      <w:r>
        <w:rPr/>
        <w:t>to</w:t>
      </w:r>
      <w:r>
        <w:rPr>
          <w:spacing w:val="-8"/>
        </w:rPr>
        <w:t> </w:t>
      </w:r>
      <w:r>
        <w:rPr/>
        <w:t>add</w:t>
      </w:r>
      <w:r>
        <w:rPr>
          <w:spacing w:val="-8"/>
        </w:rPr>
        <w:t> </w:t>
      </w:r>
      <w:r>
        <w:rPr/>
        <w:t>new,</w:t>
      </w:r>
      <w:r>
        <w:rPr>
          <w:spacing w:val="-8"/>
        </w:rPr>
        <w:t> </w:t>
      </w:r>
      <w:r>
        <w:rPr/>
        <w:t>subjective</w:t>
      </w:r>
      <w:r>
        <w:rPr>
          <w:spacing w:val="-7"/>
        </w:rPr>
        <w:t> </w:t>
      </w:r>
      <w:r>
        <w:rPr/>
        <w:t>RPT</w:t>
      </w:r>
      <w:r>
        <w:rPr>
          <w:spacing w:val="-8"/>
        </w:rPr>
        <w:t> </w:t>
      </w:r>
      <w:r>
        <w:rPr/>
        <w:t>standards</w:t>
      </w:r>
      <w:r>
        <w:rPr>
          <w:spacing w:val="-8"/>
        </w:rPr>
        <w:t> </w:t>
      </w:r>
      <w:r>
        <w:rPr/>
        <w:t>that</w:t>
      </w:r>
      <w:r>
        <w:rPr>
          <w:spacing w:val="-8"/>
        </w:rPr>
        <w:t> </w:t>
      </w:r>
      <w:r>
        <w:rPr/>
        <w:t>have</w:t>
      </w:r>
      <w:r>
        <w:rPr>
          <w:spacing w:val="-7"/>
        </w:rPr>
        <w:t> </w:t>
      </w:r>
      <w:r>
        <w:rPr/>
        <w:t>not</w:t>
      </w:r>
      <w:r>
        <w:rPr>
          <w:spacing w:val="-8"/>
        </w:rPr>
        <w:t> </w:t>
      </w:r>
      <w:r>
        <w:rPr/>
        <w:t>been</w:t>
      </w:r>
      <w:r>
        <w:rPr>
          <w:spacing w:val="-8"/>
        </w:rPr>
        <w:t> </w:t>
      </w:r>
      <w:r>
        <w:rPr/>
        <w:t>adequately</w:t>
      </w:r>
      <w:r>
        <w:rPr>
          <w:spacing w:val="-8"/>
        </w:rPr>
        <w:t> </w:t>
      </w:r>
      <w:r>
        <w:rPr/>
        <w:t>discussed</w:t>
      </w:r>
      <w:r>
        <w:rPr>
          <w:spacing w:val="-8"/>
        </w:rPr>
        <w:t> </w:t>
      </w:r>
      <w:r>
        <w:rPr/>
        <w:t>and debated by the Faculty</w:t>
      </w:r>
      <w:r>
        <w:rPr>
          <w:spacing w:val="-5"/>
        </w:rPr>
        <w:t> </w:t>
      </w:r>
      <w:r>
        <w:rPr/>
        <w:t>Senate.</w:t>
      </w:r>
    </w:p>
    <w:p>
      <w:pPr>
        <w:pStyle w:val="BodyText"/>
        <w:spacing w:before="9"/>
        <w:rPr>
          <w:sz w:val="19"/>
        </w:rPr>
      </w:pPr>
    </w:p>
    <w:p>
      <w:pPr>
        <w:pStyle w:val="BodyText"/>
        <w:ind w:left="1359" w:right="109"/>
        <w:jc w:val="both"/>
      </w:pPr>
      <w:r>
        <w:rPr/>
        <w:t>Similarly, in Proposed Standard 8, an individual’s “conduct” (like that person’s “collegiality”) would seem to be largely a matter of personal opinion (i.e., subjective). Thus, this standard would likely result in problems similar to those our literature review showed resulted from the use of collegiality as an RPT standard.</w:t>
      </w:r>
    </w:p>
    <w:p>
      <w:pPr>
        <w:pStyle w:val="BodyText"/>
        <w:spacing w:before="2"/>
      </w:pPr>
    </w:p>
    <w:p>
      <w:pPr>
        <w:spacing w:line="240" w:lineRule="auto" w:before="0"/>
        <w:ind w:left="1359" w:right="109" w:firstLine="0"/>
        <w:jc w:val="both"/>
        <w:rPr>
          <w:sz w:val="20"/>
        </w:rPr>
      </w:pPr>
      <w:r>
        <w:rPr>
          <w:b/>
          <w:sz w:val="20"/>
          <w:u w:val="single"/>
        </w:rPr>
        <w:t>Question</w:t>
      </w:r>
      <w:r>
        <w:rPr>
          <w:b/>
          <w:spacing w:val="-10"/>
          <w:sz w:val="20"/>
          <w:u w:val="single"/>
        </w:rPr>
        <w:t> </w:t>
      </w:r>
      <w:r>
        <w:rPr>
          <w:b/>
          <w:sz w:val="20"/>
          <w:u w:val="single"/>
        </w:rPr>
        <w:t>2</w:t>
      </w:r>
      <w:r>
        <w:rPr>
          <w:b/>
          <w:sz w:val="20"/>
        </w:rPr>
        <w:t>:</w:t>
      </w:r>
      <w:r>
        <w:rPr>
          <w:b/>
          <w:spacing w:val="32"/>
          <w:sz w:val="20"/>
        </w:rPr>
        <w:t> </w:t>
      </w:r>
      <w:r>
        <w:rPr>
          <w:b/>
          <w:sz w:val="20"/>
        </w:rPr>
        <w:t>Could</w:t>
      </w:r>
      <w:r>
        <w:rPr>
          <w:b/>
          <w:spacing w:val="-10"/>
          <w:sz w:val="20"/>
        </w:rPr>
        <w:t> </w:t>
      </w:r>
      <w:r>
        <w:rPr>
          <w:b/>
          <w:sz w:val="20"/>
        </w:rPr>
        <w:t>the</w:t>
      </w:r>
      <w:r>
        <w:rPr>
          <w:b/>
          <w:spacing w:val="-10"/>
          <w:sz w:val="20"/>
        </w:rPr>
        <w:t> </w:t>
      </w:r>
      <w:r>
        <w:rPr>
          <w:b/>
          <w:sz w:val="20"/>
        </w:rPr>
        <w:t>broad</w:t>
      </w:r>
      <w:r>
        <w:rPr>
          <w:b/>
          <w:spacing w:val="-9"/>
          <w:sz w:val="20"/>
        </w:rPr>
        <w:t> </w:t>
      </w:r>
      <w:r>
        <w:rPr>
          <w:b/>
          <w:sz w:val="20"/>
        </w:rPr>
        <w:t>aspirational</w:t>
      </w:r>
      <w:r>
        <w:rPr>
          <w:b/>
          <w:spacing w:val="-10"/>
          <w:sz w:val="20"/>
        </w:rPr>
        <w:t> </w:t>
      </w:r>
      <w:r>
        <w:rPr>
          <w:b/>
          <w:sz w:val="20"/>
        </w:rPr>
        <w:t>goals</w:t>
      </w:r>
      <w:r>
        <w:rPr>
          <w:b/>
          <w:spacing w:val="-10"/>
          <w:sz w:val="20"/>
        </w:rPr>
        <w:t> </w:t>
      </w:r>
      <w:r>
        <w:rPr>
          <w:b/>
          <w:sz w:val="20"/>
        </w:rPr>
        <w:t>of</w:t>
      </w:r>
      <w:r>
        <w:rPr>
          <w:b/>
          <w:spacing w:val="-10"/>
          <w:sz w:val="20"/>
        </w:rPr>
        <w:t> </w:t>
      </w:r>
      <w:r>
        <w:rPr>
          <w:b/>
          <w:sz w:val="20"/>
        </w:rPr>
        <w:t>promoting</w:t>
      </w:r>
      <w:r>
        <w:rPr>
          <w:b/>
          <w:spacing w:val="-10"/>
          <w:sz w:val="20"/>
        </w:rPr>
        <w:t> </w:t>
      </w:r>
      <w:r>
        <w:rPr>
          <w:b/>
          <w:sz w:val="20"/>
        </w:rPr>
        <w:t>DEI</w:t>
      </w:r>
      <w:r>
        <w:rPr>
          <w:b/>
          <w:spacing w:val="-9"/>
          <w:sz w:val="20"/>
        </w:rPr>
        <w:t> </w:t>
      </w:r>
      <w:r>
        <w:rPr>
          <w:b/>
          <w:sz w:val="20"/>
        </w:rPr>
        <w:t>and</w:t>
      </w:r>
      <w:r>
        <w:rPr>
          <w:b/>
          <w:spacing w:val="-10"/>
          <w:sz w:val="20"/>
        </w:rPr>
        <w:t> </w:t>
      </w:r>
      <w:r>
        <w:rPr>
          <w:b/>
          <w:sz w:val="20"/>
        </w:rPr>
        <w:t>collegiality</w:t>
      </w:r>
      <w:r>
        <w:rPr>
          <w:b/>
          <w:spacing w:val="-10"/>
          <w:sz w:val="20"/>
        </w:rPr>
        <w:t> </w:t>
      </w:r>
      <w:r>
        <w:rPr>
          <w:b/>
          <w:sz w:val="20"/>
        </w:rPr>
        <w:t>at</w:t>
      </w:r>
      <w:r>
        <w:rPr>
          <w:b/>
          <w:spacing w:val="-10"/>
          <w:sz w:val="20"/>
        </w:rPr>
        <w:t> </w:t>
      </w:r>
      <w:r>
        <w:rPr>
          <w:b/>
          <w:sz w:val="20"/>
        </w:rPr>
        <w:t>MSU</w:t>
      </w:r>
      <w:r>
        <w:rPr>
          <w:b/>
          <w:spacing w:val="-10"/>
          <w:sz w:val="20"/>
        </w:rPr>
        <w:t> </w:t>
      </w:r>
      <w:r>
        <w:rPr>
          <w:b/>
          <w:sz w:val="20"/>
        </w:rPr>
        <w:t>be</w:t>
      </w:r>
      <w:r>
        <w:rPr>
          <w:b/>
          <w:spacing w:val="-9"/>
          <w:sz w:val="20"/>
        </w:rPr>
        <w:t> </w:t>
      </w:r>
      <w:r>
        <w:rPr>
          <w:b/>
          <w:sz w:val="20"/>
        </w:rPr>
        <w:t>achieved</w:t>
      </w:r>
      <w:r>
        <w:rPr>
          <w:b/>
          <w:spacing w:val="-10"/>
          <w:sz w:val="20"/>
        </w:rPr>
        <w:t> </w:t>
      </w:r>
      <w:r>
        <w:rPr>
          <w:b/>
          <w:sz w:val="20"/>
        </w:rPr>
        <w:t>without adding these new subjective standards to the RPT process? </w:t>
      </w:r>
      <w:r>
        <w:rPr>
          <w:sz w:val="20"/>
        </w:rPr>
        <w:t>As noted previously, nontraditional faculty contributions can be highlighted in the Form D reflective essay within the context of the traditional three-pillar (i.e., research, teaching, and service) framework. That framework serves as the basis of not only the tenure-track RPT evaluation in the MSU Faculty Handbook, but also the faculty-effort distribution in appointment paperwork and the faculty-performance reporting in the annual activities</w:t>
      </w:r>
      <w:r>
        <w:rPr>
          <w:spacing w:val="-7"/>
          <w:sz w:val="20"/>
        </w:rPr>
        <w:t> </w:t>
      </w:r>
      <w:r>
        <w:rPr>
          <w:sz w:val="20"/>
        </w:rPr>
        <w:t>report.</w:t>
      </w:r>
    </w:p>
    <w:p>
      <w:pPr>
        <w:pStyle w:val="BodyText"/>
        <w:spacing w:before="9"/>
        <w:rPr>
          <w:sz w:val="19"/>
        </w:rPr>
      </w:pPr>
    </w:p>
    <w:p>
      <w:pPr>
        <w:pStyle w:val="BodyText"/>
        <w:ind w:left="1359" w:right="110"/>
        <w:jc w:val="both"/>
      </w:pPr>
      <w:r>
        <w:rPr/>
        <w:t>Conduct complaints are currently handled using existing </w:t>
      </w:r>
      <w:r>
        <w:rPr>
          <w:color w:val="0000FF"/>
          <w:u w:val="single" w:color="0000FF"/>
        </w:rPr>
        <w:t>MSU policies</w:t>
      </w:r>
      <w:r>
        <w:rPr/>
        <w:t>, and levels of DEI engagement can be assessed by conducting surveys and through existing campus graduate and undergraduate enrollment and employment data. Faculty can already choose to describe their DEI engagement using existing fields on Form D. Adding DEI and conduct as RPT standards is likely to create confusion, including whether “DEI engagement” or “core values for conduct” should be formalized as additional pillars of faculty duty to be assigned their own effort- percentage value in faculty appointments and annual activities reports.</w:t>
      </w:r>
    </w:p>
    <w:p>
      <w:pPr>
        <w:pStyle w:val="BodyText"/>
        <w:spacing w:before="10"/>
        <w:rPr>
          <w:sz w:val="19"/>
        </w:rPr>
      </w:pPr>
    </w:p>
    <w:p>
      <w:pPr>
        <w:spacing w:before="0"/>
        <w:ind w:left="1359" w:right="109" w:firstLine="0"/>
        <w:jc w:val="both"/>
        <w:rPr>
          <w:sz w:val="20"/>
        </w:rPr>
      </w:pPr>
      <w:r>
        <w:rPr>
          <w:b/>
          <w:sz w:val="20"/>
          <w:u w:val="single"/>
        </w:rPr>
        <w:t>Question 3</w:t>
      </w:r>
      <w:r>
        <w:rPr>
          <w:b/>
          <w:sz w:val="20"/>
        </w:rPr>
        <w:t>: Is it feasible to define verifiable, DEI-related metric categories, category indicators, indicator models, data collection approaches, etc. that are acceptable to faculty and administrators campus-wide? </w:t>
      </w:r>
      <w:r>
        <w:rPr>
          <w:sz w:val="20"/>
        </w:rPr>
        <w:t>The complexities</w:t>
      </w:r>
      <w:r>
        <w:rPr>
          <w:spacing w:val="-11"/>
          <w:sz w:val="20"/>
        </w:rPr>
        <w:t> </w:t>
      </w:r>
      <w:r>
        <w:rPr>
          <w:sz w:val="20"/>
        </w:rPr>
        <w:t>and</w:t>
      </w:r>
      <w:r>
        <w:rPr>
          <w:spacing w:val="-12"/>
          <w:sz w:val="20"/>
        </w:rPr>
        <w:t> </w:t>
      </w:r>
      <w:r>
        <w:rPr>
          <w:sz w:val="20"/>
        </w:rPr>
        <w:t>challenges</w:t>
      </w:r>
      <w:r>
        <w:rPr>
          <w:spacing w:val="-11"/>
          <w:sz w:val="20"/>
        </w:rPr>
        <w:t> </w:t>
      </w:r>
      <w:r>
        <w:rPr>
          <w:sz w:val="20"/>
        </w:rPr>
        <w:t>of</w:t>
      </w:r>
      <w:r>
        <w:rPr>
          <w:spacing w:val="-11"/>
          <w:sz w:val="20"/>
        </w:rPr>
        <w:t> </w:t>
      </w:r>
      <w:r>
        <w:rPr>
          <w:sz w:val="20"/>
        </w:rPr>
        <w:t>establishing</w:t>
      </w:r>
      <w:r>
        <w:rPr>
          <w:spacing w:val="-12"/>
          <w:sz w:val="20"/>
        </w:rPr>
        <w:t> </w:t>
      </w:r>
      <w:r>
        <w:rPr>
          <w:sz w:val="20"/>
        </w:rPr>
        <w:t>verifiable,</w:t>
      </w:r>
      <w:r>
        <w:rPr>
          <w:spacing w:val="-11"/>
          <w:sz w:val="20"/>
        </w:rPr>
        <w:t> </w:t>
      </w:r>
      <w:r>
        <w:rPr>
          <w:sz w:val="20"/>
        </w:rPr>
        <w:t>DEI-related</w:t>
      </w:r>
      <w:r>
        <w:rPr>
          <w:spacing w:val="-11"/>
          <w:sz w:val="20"/>
        </w:rPr>
        <w:t> </w:t>
      </w:r>
      <w:r>
        <w:rPr>
          <w:sz w:val="20"/>
        </w:rPr>
        <w:t>assessment</w:t>
      </w:r>
      <w:r>
        <w:rPr>
          <w:spacing w:val="-12"/>
          <w:sz w:val="20"/>
        </w:rPr>
        <w:t> </w:t>
      </w:r>
      <w:r>
        <w:rPr>
          <w:sz w:val="20"/>
        </w:rPr>
        <w:t>protocols</w:t>
      </w:r>
      <w:r>
        <w:rPr>
          <w:spacing w:val="-12"/>
          <w:sz w:val="20"/>
        </w:rPr>
        <w:t> </w:t>
      </w:r>
      <w:r>
        <w:rPr>
          <w:sz w:val="20"/>
        </w:rPr>
        <w:t>for</w:t>
      </w:r>
      <w:r>
        <w:rPr>
          <w:spacing w:val="-11"/>
          <w:sz w:val="20"/>
        </w:rPr>
        <w:t> </w:t>
      </w:r>
      <w:r>
        <w:rPr>
          <w:sz w:val="20"/>
        </w:rPr>
        <w:t>an</w:t>
      </w:r>
      <w:r>
        <w:rPr>
          <w:spacing w:val="-11"/>
          <w:sz w:val="20"/>
        </w:rPr>
        <w:t> </w:t>
      </w:r>
      <w:r>
        <w:rPr>
          <w:sz w:val="20"/>
        </w:rPr>
        <w:t>RPT</w:t>
      </w:r>
      <w:r>
        <w:rPr>
          <w:spacing w:val="-12"/>
          <w:sz w:val="20"/>
        </w:rPr>
        <w:t> </w:t>
      </w:r>
      <w:r>
        <w:rPr>
          <w:sz w:val="20"/>
        </w:rPr>
        <w:t>evaluation</w:t>
      </w:r>
      <w:r>
        <w:rPr>
          <w:spacing w:val="-12"/>
          <w:sz w:val="20"/>
        </w:rPr>
        <w:t> </w:t>
      </w:r>
      <w:r>
        <w:rPr>
          <w:sz w:val="20"/>
        </w:rPr>
        <w:t>needs to be considered. Many dimensions of diversity are not binary, but represent a continuous scale, raising questions of how to define whether a student is underrepresented. For example, questions such as, what percentage of an underrepresented</w:t>
      </w:r>
      <w:r>
        <w:rPr>
          <w:spacing w:val="-3"/>
          <w:sz w:val="20"/>
        </w:rPr>
        <w:t> </w:t>
      </w:r>
      <w:r>
        <w:rPr>
          <w:sz w:val="20"/>
        </w:rPr>
        <w:t>race,</w:t>
      </w:r>
      <w:r>
        <w:rPr>
          <w:spacing w:val="-3"/>
          <w:sz w:val="20"/>
        </w:rPr>
        <w:t> </w:t>
      </w:r>
      <w:r>
        <w:rPr>
          <w:sz w:val="20"/>
        </w:rPr>
        <w:t>or</w:t>
      </w:r>
      <w:r>
        <w:rPr>
          <w:spacing w:val="-3"/>
          <w:sz w:val="20"/>
        </w:rPr>
        <w:t> </w:t>
      </w:r>
      <w:r>
        <w:rPr>
          <w:sz w:val="20"/>
        </w:rPr>
        <w:t>how</w:t>
      </w:r>
      <w:r>
        <w:rPr>
          <w:spacing w:val="-4"/>
          <w:sz w:val="20"/>
        </w:rPr>
        <w:t> </w:t>
      </w:r>
      <w:r>
        <w:rPr>
          <w:sz w:val="20"/>
        </w:rPr>
        <w:t>severe</w:t>
      </w:r>
      <w:r>
        <w:rPr>
          <w:spacing w:val="-3"/>
          <w:sz w:val="20"/>
        </w:rPr>
        <w:t> </w:t>
      </w:r>
      <w:r>
        <w:rPr>
          <w:sz w:val="20"/>
        </w:rPr>
        <w:t>of</w:t>
      </w:r>
      <w:r>
        <w:rPr>
          <w:spacing w:val="-3"/>
          <w:sz w:val="20"/>
        </w:rPr>
        <w:t> </w:t>
      </w:r>
      <w:r>
        <w:rPr>
          <w:sz w:val="20"/>
        </w:rPr>
        <w:t>a</w:t>
      </w:r>
      <w:r>
        <w:rPr>
          <w:spacing w:val="-3"/>
          <w:sz w:val="20"/>
        </w:rPr>
        <w:t> </w:t>
      </w:r>
      <w:r>
        <w:rPr>
          <w:sz w:val="20"/>
        </w:rPr>
        <w:t>physical</w:t>
      </w:r>
      <w:r>
        <w:rPr>
          <w:spacing w:val="-3"/>
          <w:sz w:val="20"/>
        </w:rPr>
        <w:t> </w:t>
      </w:r>
      <w:r>
        <w:rPr>
          <w:sz w:val="20"/>
        </w:rPr>
        <w:t>handicap</w:t>
      </w:r>
      <w:r>
        <w:rPr>
          <w:spacing w:val="-3"/>
          <w:sz w:val="20"/>
        </w:rPr>
        <w:t> </w:t>
      </w:r>
      <w:r>
        <w:rPr>
          <w:sz w:val="20"/>
        </w:rPr>
        <w:t>or</w:t>
      </w:r>
      <w:r>
        <w:rPr>
          <w:spacing w:val="-3"/>
          <w:sz w:val="20"/>
        </w:rPr>
        <w:t> </w:t>
      </w:r>
      <w:r>
        <w:rPr>
          <w:sz w:val="20"/>
        </w:rPr>
        <w:t>mental</w:t>
      </w:r>
      <w:r>
        <w:rPr>
          <w:spacing w:val="-3"/>
          <w:sz w:val="20"/>
        </w:rPr>
        <w:t> </w:t>
      </w:r>
      <w:r>
        <w:rPr>
          <w:sz w:val="20"/>
        </w:rPr>
        <w:t>disorder</w:t>
      </w:r>
      <w:r>
        <w:rPr>
          <w:spacing w:val="-3"/>
          <w:sz w:val="20"/>
        </w:rPr>
        <w:t> </w:t>
      </w:r>
      <w:r>
        <w:rPr>
          <w:sz w:val="20"/>
        </w:rPr>
        <w:t>(e.g.</w:t>
      </w:r>
      <w:r>
        <w:rPr>
          <w:spacing w:val="-2"/>
          <w:sz w:val="20"/>
        </w:rPr>
        <w:t> </w:t>
      </w:r>
      <w:r>
        <w:rPr>
          <w:sz w:val="20"/>
        </w:rPr>
        <w:t>autism,</w:t>
      </w:r>
      <w:r>
        <w:rPr>
          <w:spacing w:val="-3"/>
          <w:sz w:val="20"/>
        </w:rPr>
        <w:t> </w:t>
      </w:r>
      <w:r>
        <w:rPr>
          <w:sz w:val="20"/>
        </w:rPr>
        <w:t>ADHD),</w:t>
      </w:r>
      <w:r>
        <w:rPr>
          <w:spacing w:val="-3"/>
          <w:sz w:val="20"/>
        </w:rPr>
        <w:t> </w:t>
      </w:r>
      <w:r>
        <w:rPr>
          <w:sz w:val="20"/>
        </w:rPr>
        <w:t>would</w:t>
      </w:r>
      <w:r>
        <w:rPr>
          <w:spacing w:val="-4"/>
          <w:sz w:val="20"/>
        </w:rPr>
        <w:t> </w:t>
      </w:r>
      <w:r>
        <w:rPr>
          <w:sz w:val="20"/>
        </w:rPr>
        <w:t>have</w:t>
      </w:r>
      <w:r>
        <w:rPr>
          <w:spacing w:val="-4"/>
          <w:sz w:val="20"/>
        </w:rPr>
        <w:t> </w:t>
      </w:r>
      <w:r>
        <w:rPr>
          <w:sz w:val="20"/>
        </w:rPr>
        <w:t>to be</w:t>
      </w:r>
      <w:r>
        <w:rPr>
          <w:spacing w:val="-11"/>
          <w:sz w:val="20"/>
        </w:rPr>
        <w:t> </w:t>
      </w:r>
      <w:r>
        <w:rPr>
          <w:sz w:val="20"/>
        </w:rPr>
        <w:t>satisfactorily</w:t>
      </w:r>
      <w:r>
        <w:rPr>
          <w:spacing w:val="-11"/>
          <w:sz w:val="20"/>
        </w:rPr>
        <w:t> </w:t>
      </w:r>
      <w:r>
        <w:rPr>
          <w:sz w:val="20"/>
        </w:rPr>
        <w:t>answered</w:t>
      </w:r>
      <w:r>
        <w:rPr>
          <w:spacing w:val="-11"/>
          <w:sz w:val="20"/>
        </w:rPr>
        <w:t> </w:t>
      </w:r>
      <w:r>
        <w:rPr>
          <w:sz w:val="20"/>
        </w:rPr>
        <w:t>to</w:t>
      </w:r>
      <w:r>
        <w:rPr>
          <w:spacing w:val="-11"/>
          <w:sz w:val="20"/>
        </w:rPr>
        <w:t> </w:t>
      </w:r>
      <w:r>
        <w:rPr>
          <w:sz w:val="20"/>
        </w:rPr>
        <w:t>contribute</w:t>
      </w:r>
      <w:r>
        <w:rPr>
          <w:spacing w:val="-11"/>
          <w:sz w:val="20"/>
        </w:rPr>
        <w:t> </w:t>
      </w:r>
      <w:r>
        <w:rPr>
          <w:sz w:val="20"/>
        </w:rPr>
        <w:t>to</w:t>
      </w:r>
      <w:r>
        <w:rPr>
          <w:spacing w:val="-11"/>
          <w:sz w:val="20"/>
        </w:rPr>
        <w:t> </w:t>
      </w:r>
      <w:r>
        <w:rPr>
          <w:sz w:val="20"/>
        </w:rPr>
        <w:t>a</w:t>
      </w:r>
      <w:r>
        <w:rPr>
          <w:spacing w:val="-11"/>
          <w:sz w:val="20"/>
        </w:rPr>
        <w:t> </w:t>
      </w:r>
      <w:r>
        <w:rPr>
          <w:sz w:val="20"/>
        </w:rPr>
        <w:t>DEI</w:t>
      </w:r>
      <w:r>
        <w:rPr>
          <w:spacing w:val="-10"/>
          <w:sz w:val="20"/>
        </w:rPr>
        <w:t> </w:t>
      </w:r>
      <w:r>
        <w:rPr>
          <w:sz w:val="20"/>
        </w:rPr>
        <w:t>metric.</w:t>
      </w:r>
      <w:r>
        <w:rPr>
          <w:spacing w:val="31"/>
          <w:sz w:val="20"/>
        </w:rPr>
        <w:t> </w:t>
      </w:r>
      <w:r>
        <w:rPr>
          <w:sz w:val="20"/>
        </w:rPr>
        <w:t>Faculty</w:t>
      </w:r>
      <w:r>
        <w:rPr>
          <w:spacing w:val="-10"/>
          <w:sz w:val="20"/>
        </w:rPr>
        <w:t> </w:t>
      </w:r>
      <w:r>
        <w:rPr>
          <w:sz w:val="20"/>
        </w:rPr>
        <w:t>members’</w:t>
      </w:r>
      <w:r>
        <w:rPr>
          <w:spacing w:val="-10"/>
          <w:sz w:val="20"/>
        </w:rPr>
        <w:t> </w:t>
      </w:r>
      <w:r>
        <w:rPr>
          <w:sz w:val="20"/>
        </w:rPr>
        <w:t>need</w:t>
      </w:r>
      <w:r>
        <w:rPr>
          <w:spacing w:val="-10"/>
          <w:sz w:val="20"/>
        </w:rPr>
        <w:t> </w:t>
      </w:r>
      <w:r>
        <w:rPr>
          <w:sz w:val="20"/>
        </w:rPr>
        <w:t>to</w:t>
      </w:r>
      <w:r>
        <w:rPr>
          <w:spacing w:val="-10"/>
          <w:sz w:val="20"/>
        </w:rPr>
        <w:t> </w:t>
      </w:r>
      <w:r>
        <w:rPr>
          <w:sz w:val="20"/>
        </w:rPr>
        <w:t>collect</w:t>
      </w:r>
      <w:r>
        <w:rPr>
          <w:spacing w:val="-10"/>
          <w:sz w:val="20"/>
        </w:rPr>
        <w:t> </w:t>
      </w:r>
      <w:r>
        <w:rPr>
          <w:sz w:val="20"/>
        </w:rPr>
        <w:t>and</w:t>
      </w:r>
      <w:r>
        <w:rPr>
          <w:spacing w:val="-10"/>
          <w:sz w:val="20"/>
        </w:rPr>
        <w:t> </w:t>
      </w:r>
      <w:r>
        <w:rPr>
          <w:sz w:val="20"/>
        </w:rPr>
        <w:t>report</w:t>
      </w:r>
      <w:r>
        <w:rPr>
          <w:spacing w:val="-10"/>
          <w:sz w:val="20"/>
        </w:rPr>
        <w:t> </w:t>
      </w:r>
      <w:r>
        <w:rPr>
          <w:sz w:val="20"/>
        </w:rPr>
        <w:t>such</w:t>
      </w:r>
      <w:r>
        <w:rPr>
          <w:spacing w:val="-10"/>
          <w:sz w:val="20"/>
        </w:rPr>
        <w:t> </w:t>
      </w:r>
      <w:r>
        <w:rPr>
          <w:sz w:val="20"/>
        </w:rPr>
        <w:t>potentially</w:t>
      </w:r>
    </w:p>
    <w:p>
      <w:pPr>
        <w:spacing w:after="0"/>
        <w:jc w:val="both"/>
        <w:rPr>
          <w:sz w:val="20"/>
        </w:rPr>
        <w:sectPr>
          <w:pgSz w:w="12240" w:h="15840"/>
          <w:pgMar w:top="1500" w:bottom="280" w:left="460" w:right="1020"/>
        </w:sectPr>
      </w:pPr>
    </w:p>
    <w:p>
      <w:pPr>
        <w:pStyle w:val="BodyText"/>
        <w:spacing w:before="79"/>
        <w:ind w:left="1359" w:right="110"/>
        <w:jc w:val="both"/>
      </w:pPr>
      <w:r>
        <w:rPr/>
        <w:t>sensitive personal data on DEI-relevant traits (race, gender, LBGTQIA+ status, disability, etc.) may, in some cases, be incompatible with the need to protect student privacy.</w:t>
      </w:r>
    </w:p>
    <w:p>
      <w:pPr>
        <w:pStyle w:val="BodyText"/>
        <w:spacing w:before="1"/>
      </w:pPr>
    </w:p>
    <w:p>
      <w:pPr>
        <w:pStyle w:val="BodyText"/>
        <w:ind w:left="1359" w:right="110"/>
        <w:jc w:val="both"/>
      </w:pPr>
      <w:r>
        <w:rPr/>
        <w:t>To help preserve the integrity of RPT processes, department- and college-level RPT committees typically conduct due-diligence</w:t>
      </w:r>
      <w:r>
        <w:rPr>
          <w:spacing w:val="-5"/>
        </w:rPr>
        <w:t> </w:t>
      </w:r>
      <w:r>
        <w:rPr/>
        <w:t>checks</w:t>
      </w:r>
      <w:r>
        <w:rPr>
          <w:spacing w:val="-4"/>
        </w:rPr>
        <w:t> </w:t>
      </w:r>
      <w:r>
        <w:rPr/>
        <w:t>to</w:t>
      </w:r>
      <w:r>
        <w:rPr>
          <w:spacing w:val="-5"/>
        </w:rPr>
        <w:t> </w:t>
      </w:r>
      <w:r>
        <w:rPr/>
        <w:t>verify</w:t>
      </w:r>
      <w:r>
        <w:rPr>
          <w:spacing w:val="-4"/>
        </w:rPr>
        <w:t> </w:t>
      </w:r>
      <w:r>
        <w:rPr/>
        <w:t>data</w:t>
      </w:r>
      <w:r>
        <w:rPr>
          <w:spacing w:val="-5"/>
        </w:rPr>
        <w:t> </w:t>
      </w:r>
      <w:r>
        <w:rPr/>
        <w:t>in</w:t>
      </w:r>
      <w:r>
        <w:rPr>
          <w:spacing w:val="-5"/>
        </w:rPr>
        <w:t> </w:t>
      </w:r>
      <w:r>
        <w:rPr/>
        <w:t>RPT</w:t>
      </w:r>
      <w:r>
        <w:rPr>
          <w:spacing w:val="-5"/>
        </w:rPr>
        <w:t> </w:t>
      </w:r>
      <w:r>
        <w:rPr/>
        <w:t>packages.</w:t>
      </w:r>
      <w:r>
        <w:rPr>
          <w:spacing w:val="-4"/>
        </w:rPr>
        <w:t> </w:t>
      </w:r>
      <w:r>
        <w:rPr/>
        <w:t>These</w:t>
      </w:r>
      <w:r>
        <w:rPr>
          <w:spacing w:val="-5"/>
        </w:rPr>
        <w:t> </w:t>
      </w:r>
      <w:r>
        <w:rPr/>
        <w:t>checks</w:t>
      </w:r>
      <w:r>
        <w:rPr>
          <w:spacing w:val="-5"/>
        </w:rPr>
        <w:t> </w:t>
      </w:r>
      <w:r>
        <w:rPr/>
        <w:t>are</w:t>
      </w:r>
      <w:r>
        <w:rPr>
          <w:spacing w:val="-5"/>
        </w:rPr>
        <w:t> </w:t>
      </w:r>
      <w:r>
        <w:rPr/>
        <w:t>typically</w:t>
      </w:r>
      <w:r>
        <w:rPr>
          <w:spacing w:val="-4"/>
        </w:rPr>
        <w:t> </w:t>
      </w:r>
      <w:r>
        <w:rPr/>
        <w:t>facile</w:t>
      </w:r>
      <w:r>
        <w:rPr>
          <w:spacing w:val="-5"/>
        </w:rPr>
        <w:t> </w:t>
      </w:r>
      <w:r>
        <w:rPr/>
        <w:t>for</w:t>
      </w:r>
      <w:r>
        <w:rPr>
          <w:spacing w:val="-5"/>
        </w:rPr>
        <w:t> </w:t>
      </w:r>
      <w:r>
        <w:rPr/>
        <w:t>the</w:t>
      </w:r>
      <w:r>
        <w:rPr>
          <w:spacing w:val="-5"/>
        </w:rPr>
        <w:t> </w:t>
      </w:r>
      <w:r>
        <w:rPr/>
        <w:t>objective</w:t>
      </w:r>
      <w:r>
        <w:rPr>
          <w:spacing w:val="-5"/>
        </w:rPr>
        <w:t> </w:t>
      </w:r>
      <w:r>
        <w:rPr/>
        <w:t>metrics</w:t>
      </w:r>
      <w:r>
        <w:rPr>
          <w:spacing w:val="-5"/>
        </w:rPr>
        <w:t> </w:t>
      </w:r>
      <w:r>
        <w:rPr/>
        <w:t>used to assess research, teaching, and service; however, they would likely be much more difficult for common classes of DEI data. Finally, the logistics of establishing guidelines and “diversity indices” suitable to rank the relative DEI- related</w:t>
      </w:r>
      <w:r>
        <w:rPr>
          <w:spacing w:val="-10"/>
        </w:rPr>
        <w:t> </w:t>
      </w:r>
      <w:r>
        <w:rPr/>
        <w:t>merit</w:t>
      </w:r>
      <w:r>
        <w:rPr>
          <w:spacing w:val="-8"/>
        </w:rPr>
        <w:t> </w:t>
      </w:r>
      <w:r>
        <w:rPr/>
        <w:t>of</w:t>
      </w:r>
      <w:r>
        <w:rPr>
          <w:spacing w:val="-8"/>
        </w:rPr>
        <w:t> </w:t>
      </w:r>
      <w:r>
        <w:rPr/>
        <w:t>RPT</w:t>
      </w:r>
      <w:r>
        <w:rPr>
          <w:spacing w:val="-10"/>
        </w:rPr>
        <w:t> </w:t>
      </w:r>
      <w:r>
        <w:rPr/>
        <w:t>candidates</w:t>
      </w:r>
      <w:r>
        <w:rPr>
          <w:spacing w:val="-9"/>
        </w:rPr>
        <w:t> </w:t>
      </w:r>
      <w:r>
        <w:rPr/>
        <w:t>from</w:t>
      </w:r>
      <w:r>
        <w:rPr>
          <w:spacing w:val="-9"/>
        </w:rPr>
        <w:t> </w:t>
      </w:r>
      <w:r>
        <w:rPr/>
        <w:t>different</w:t>
      </w:r>
      <w:r>
        <w:rPr>
          <w:spacing w:val="-8"/>
        </w:rPr>
        <w:t> </w:t>
      </w:r>
      <w:r>
        <w:rPr/>
        <w:t>departments</w:t>
      </w:r>
      <w:r>
        <w:rPr>
          <w:spacing w:val="-9"/>
        </w:rPr>
        <w:t> </w:t>
      </w:r>
      <w:r>
        <w:rPr/>
        <w:t>and</w:t>
      </w:r>
      <w:r>
        <w:rPr>
          <w:spacing w:val="-10"/>
        </w:rPr>
        <w:t> </w:t>
      </w:r>
      <w:r>
        <w:rPr/>
        <w:t>colleges,</w:t>
      </w:r>
      <w:r>
        <w:rPr>
          <w:spacing w:val="-8"/>
        </w:rPr>
        <w:t> </w:t>
      </w:r>
      <w:r>
        <w:rPr/>
        <w:t>and</w:t>
      </w:r>
      <w:r>
        <w:rPr>
          <w:spacing w:val="-8"/>
        </w:rPr>
        <w:t> </w:t>
      </w:r>
      <w:r>
        <w:rPr/>
        <w:t>who,</w:t>
      </w:r>
      <w:r>
        <w:rPr>
          <w:spacing w:val="-9"/>
        </w:rPr>
        <w:t> </w:t>
      </w:r>
      <w:r>
        <w:rPr/>
        <w:t>themselves,</w:t>
      </w:r>
      <w:r>
        <w:rPr>
          <w:spacing w:val="-8"/>
        </w:rPr>
        <w:t> </w:t>
      </w:r>
      <w:r>
        <w:rPr/>
        <w:t>differ</w:t>
      </w:r>
      <w:r>
        <w:rPr>
          <w:spacing w:val="-8"/>
        </w:rPr>
        <w:t> </w:t>
      </w:r>
      <w:r>
        <w:rPr/>
        <w:t>in</w:t>
      </w:r>
      <w:r>
        <w:rPr>
          <w:spacing w:val="-9"/>
        </w:rPr>
        <w:t> </w:t>
      </w:r>
      <w:r>
        <w:rPr/>
        <w:t>race,</w:t>
      </w:r>
      <w:r>
        <w:rPr>
          <w:spacing w:val="-9"/>
        </w:rPr>
        <w:t> </w:t>
      </w:r>
      <w:r>
        <w:rPr/>
        <w:t>gender, LBGTQIA+ status, disability, etc. are likely to be very</w:t>
      </w:r>
      <w:r>
        <w:rPr>
          <w:spacing w:val="-10"/>
        </w:rPr>
        <w:t> </w:t>
      </w:r>
      <w:r>
        <w:rPr/>
        <w:t>complicated.</w:t>
      </w:r>
    </w:p>
    <w:p>
      <w:pPr>
        <w:pStyle w:val="BodyText"/>
        <w:spacing w:before="10"/>
        <w:rPr>
          <w:sz w:val="19"/>
        </w:rPr>
      </w:pPr>
    </w:p>
    <w:p>
      <w:pPr>
        <w:pStyle w:val="BodyText"/>
        <w:ind w:left="1359" w:right="108"/>
        <w:jc w:val="both"/>
      </w:pPr>
      <w:r>
        <w:rPr>
          <w:b/>
          <w:u w:val="single"/>
        </w:rPr>
        <w:t>Question 4</w:t>
      </w:r>
      <w:r>
        <w:rPr>
          <w:b/>
        </w:rPr>
        <w:t>: Would adding the proposed subjective standards provide a mechanism to repress faculty members’ academic freedom? </w:t>
      </w:r>
      <w:r>
        <w:rPr/>
        <w:t>The abovementioned literature review conducted by ECAC members on the use of collegiality as an RPT standard at other institutions revealed instances in which faculty members’ expression of unpopular opinions or criticism of administrators’ policies resulted in low collegiality scores in RPT evaluations. Efforts to silence those expressing unpopular opinions are on the rise throughout many sectors of US society, including academia, and addition of subjective standards would make such efforts easier to implement in the RPT process and more difficult to challenge.</w:t>
      </w:r>
    </w:p>
    <w:p>
      <w:pPr>
        <w:pStyle w:val="BodyText"/>
        <w:spacing w:before="10"/>
        <w:rPr>
          <w:sz w:val="19"/>
        </w:rPr>
      </w:pPr>
    </w:p>
    <w:p>
      <w:pPr>
        <w:spacing w:before="0"/>
        <w:ind w:left="1359" w:right="110" w:firstLine="0"/>
        <w:jc w:val="both"/>
        <w:rPr>
          <w:sz w:val="20"/>
        </w:rPr>
      </w:pPr>
      <w:r>
        <w:rPr>
          <w:b/>
          <w:sz w:val="20"/>
          <w:u w:val="single"/>
        </w:rPr>
        <w:t>Question 5</w:t>
      </w:r>
      <w:r>
        <w:rPr>
          <w:b/>
          <w:sz w:val="20"/>
        </w:rPr>
        <w:t>: Would adding the proposed subjective standards provide a mechanism to discriminate against faculty? </w:t>
      </w:r>
      <w:r>
        <w:rPr>
          <w:sz w:val="20"/>
        </w:rPr>
        <w:t>Although discrimination against faculty based on factors included in </w:t>
      </w:r>
      <w:r>
        <w:rPr>
          <w:color w:val="0000FF"/>
          <w:sz w:val="20"/>
          <w:u w:val="single" w:color="0000FF"/>
        </w:rPr>
        <w:t>MSU’s Anti-Discrimination Policy</w:t>
      </w:r>
      <w:r>
        <w:rPr>
          <w:color w:val="0000FF"/>
          <w:sz w:val="20"/>
        </w:rPr>
        <w:t> </w:t>
      </w:r>
      <w:r>
        <w:rPr>
          <w:sz w:val="20"/>
        </w:rPr>
        <w:t>(e.g., political persuasion) is forbidden, such discrimination might be enabled by the proposed subjective standards. Ratings on subjective factors are inherently difficult to confirm or challenge.</w:t>
      </w:r>
    </w:p>
    <w:p>
      <w:pPr>
        <w:pStyle w:val="BodyText"/>
        <w:spacing w:before="2"/>
      </w:pPr>
    </w:p>
    <w:p>
      <w:pPr>
        <w:spacing w:line="240" w:lineRule="auto" w:before="0"/>
        <w:ind w:left="1359" w:right="110" w:firstLine="0"/>
        <w:jc w:val="both"/>
        <w:rPr>
          <w:sz w:val="20"/>
        </w:rPr>
      </w:pPr>
      <w:r>
        <w:rPr>
          <w:b/>
          <w:sz w:val="20"/>
          <w:u w:val="single"/>
        </w:rPr>
        <w:t>Question 6</w:t>
      </w:r>
      <w:r>
        <w:rPr>
          <w:b/>
          <w:sz w:val="20"/>
        </w:rPr>
        <w:t>: Would adding new subjective standards provide a mechanism to reduce faculty voice and decision-making authority in MSU’s academic governance system? </w:t>
      </w:r>
      <w:r>
        <w:rPr>
          <w:sz w:val="20"/>
        </w:rPr>
        <w:t>Mechanisms by which MSU faculty members</w:t>
      </w:r>
      <w:r>
        <w:rPr>
          <w:spacing w:val="-10"/>
          <w:sz w:val="20"/>
        </w:rPr>
        <w:t> </w:t>
      </w:r>
      <w:r>
        <w:rPr>
          <w:sz w:val="20"/>
        </w:rPr>
        <w:t>can</w:t>
      </w:r>
      <w:r>
        <w:rPr>
          <w:spacing w:val="-9"/>
          <w:sz w:val="20"/>
        </w:rPr>
        <w:t> </w:t>
      </w:r>
      <w:r>
        <w:rPr>
          <w:sz w:val="20"/>
        </w:rPr>
        <w:t>participate</w:t>
      </w:r>
      <w:r>
        <w:rPr>
          <w:spacing w:val="-9"/>
          <w:sz w:val="20"/>
        </w:rPr>
        <w:t> </w:t>
      </w:r>
      <w:r>
        <w:rPr>
          <w:sz w:val="20"/>
        </w:rPr>
        <w:t>in</w:t>
      </w:r>
      <w:r>
        <w:rPr>
          <w:spacing w:val="-9"/>
          <w:sz w:val="20"/>
        </w:rPr>
        <w:t> </w:t>
      </w:r>
      <w:r>
        <w:rPr>
          <w:sz w:val="20"/>
        </w:rPr>
        <w:t>the</w:t>
      </w:r>
      <w:r>
        <w:rPr>
          <w:spacing w:val="-9"/>
          <w:sz w:val="20"/>
        </w:rPr>
        <w:t> </w:t>
      </w:r>
      <w:r>
        <w:rPr>
          <w:sz w:val="20"/>
        </w:rPr>
        <w:t>academic</w:t>
      </w:r>
      <w:r>
        <w:rPr>
          <w:spacing w:val="-9"/>
          <w:sz w:val="20"/>
        </w:rPr>
        <w:t> </w:t>
      </w:r>
      <w:r>
        <w:rPr>
          <w:sz w:val="20"/>
        </w:rPr>
        <w:t>governance</w:t>
      </w:r>
      <w:r>
        <w:rPr>
          <w:spacing w:val="-9"/>
          <w:sz w:val="20"/>
        </w:rPr>
        <w:t> </w:t>
      </w:r>
      <w:r>
        <w:rPr>
          <w:sz w:val="20"/>
        </w:rPr>
        <w:t>system</w:t>
      </w:r>
      <w:r>
        <w:rPr>
          <w:spacing w:val="-10"/>
          <w:sz w:val="20"/>
        </w:rPr>
        <w:t> </w:t>
      </w:r>
      <w:r>
        <w:rPr>
          <w:sz w:val="20"/>
        </w:rPr>
        <w:t>are</w:t>
      </w:r>
      <w:r>
        <w:rPr>
          <w:spacing w:val="-9"/>
          <w:sz w:val="20"/>
        </w:rPr>
        <w:t> </w:t>
      </w:r>
      <w:r>
        <w:rPr>
          <w:sz w:val="20"/>
        </w:rPr>
        <w:t>defined</w:t>
      </w:r>
      <w:r>
        <w:rPr>
          <w:spacing w:val="-9"/>
          <w:sz w:val="20"/>
        </w:rPr>
        <w:t> </w:t>
      </w:r>
      <w:r>
        <w:rPr>
          <w:sz w:val="20"/>
        </w:rPr>
        <w:t>in</w:t>
      </w:r>
      <w:r>
        <w:rPr>
          <w:spacing w:val="-8"/>
          <w:sz w:val="20"/>
        </w:rPr>
        <w:t> </w:t>
      </w:r>
      <w:r>
        <w:rPr>
          <w:color w:val="0000FF"/>
          <w:sz w:val="20"/>
          <w:u w:val="single" w:color="0000FF"/>
        </w:rPr>
        <w:t>MSU’s</w:t>
      </w:r>
      <w:r>
        <w:rPr>
          <w:color w:val="0000FF"/>
          <w:spacing w:val="-9"/>
          <w:sz w:val="20"/>
          <w:u w:val="single" w:color="0000FF"/>
        </w:rPr>
        <w:t> </w:t>
      </w:r>
      <w:r>
        <w:rPr>
          <w:color w:val="0000FF"/>
          <w:sz w:val="20"/>
          <w:u w:val="single" w:color="0000FF"/>
        </w:rPr>
        <w:t>Bylaws</w:t>
      </w:r>
      <w:r>
        <w:rPr>
          <w:sz w:val="20"/>
        </w:rPr>
        <w:t>.</w:t>
      </w:r>
      <w:r>
        <w:rPr>
          <w:spacing w:val="-9"/>
          <w:sz w:val="20"/>
        </w:rPr>
        <w:t> </w:t>
      </w:r>
      <w:r>
        <w:rPr>
          <w:sz w:val="20"/>
        </w:rPr>
        <w:t>However,</w:t>
      </w:r>
      <w:r>
        <w:rPr>
          <w:spacing w:val="-10"/>
          <w:sz w:val="20"/>
        </w:rPr>
        <w:t> </w:t>
      </w:r>
      <w:r>
        <w:rPr>
          <w:sz w:val="20"/>
        </w:rPr>
        <w:t>if</w:t>
      </w:r>
      <w:r>
        <w:rPr>
          <w:spacing w:val="-9"/>
          <w:sz w:val="20"/>
        </w:rPr>
        <w:t> </w:t>
      </w:r>
      <w:r>
        <w:rPr>
          <w:sz w:val="20"/>
        </w:rPr>
        <w:t>the</w:t>
      </w:r>
      <w:r>
        <w:rPr>
          <w:spacing w:val="-9"/>
          <w:sz w:val="20"/>
        </w:rPr>
        <w:t> </w:t>
      </w:r>
      <w:r>
        <w:rPr>
          <w:sz w:val="20"/>
        </w:rPr>
        <w:t>proposed subjective RPT standards provide a backdoor mechanism to repress faculty members’ willingness to express certain viewpoints regarding administrative governance or discriminate against faculty who express such viewpoints, those standards would indirectly reduce faculty voice and decision-making authority in academic</w:t>
      </w:r>
      <w:r>
        <w:rPr>
          <w:spacing w:val="-19"/>
          <w:sz w:val="20"/>
        </w:rPr>
        <w:t> </w:t>
      </w:r>
      <w:r>
        <w:rPr>
          <w:sz w:val="20"/>
        </w:rPr>
        <w:t>governance.</w:t>
      </w:r>
    </w:p>
    <w:p>
      <w:pPr>
        <w:spacing w:before="99"/>
        <w:ind w:left="1359" w:right="110" w:firstLine="0"/>
        <w:jc w:val="both"/>
        <w:rPr>
          <w:sz w:val="20"/>
        </w:rPr>
      </w:pPr>
      <w:r>
        <w:rPr>
          <w:b/>
          <w:sz w:val="20"/>
          <w:u w:val="single"/>
        </w:rPr>
        <w:t>Question 7</w:t>
      </w:r>
      <w:r>
        <w:rPr>
          <w:b/>
          <w:sz w:val="20"/>
        </w:rPr>
        <w:t>: Would adding DEI-related standards to MSU’s RPT evaluation process potentially make MSU vulnerable</w:t>
      </w:r>
      <w:r>
        <w:rPr>
          <w:b/>
          <w:spacing w:val="-7"/>
          <w:sz w:val="20"/>
        </w:rPr>
        <w:t> </w:t>
      </w:r>
      <w:r>
        <w:rPr>
          <w:b/>
          <w:sz w:val="20"/>
        </w:rPr>
        <w:t>to</w:t>
      </w:r>
      <w:r>
        <w:rPr>
          <w:b/>
          <w:spacing w:val="-7"/>
          <w:sz w:val="20"/>
        </w:rPr>
        <w:t> </w:t>
      </w:r>
      <w:r>
        <w:rPr>
          <w:b/>
          <w:sz w:val="20"/>
        </w:rPr>
        <w:t>lawsuits</w:t>
      </w:r>
      <w:r>
        <w:rPr>
          <w:b/>
          <w:spacing w:val="-7"/>
          <w:sz w:val="20"/>
        </w:rPr>
        <w:t> </w:t>
      </w:r>
      <w:r>
        <w:rPr>
          <w:b/>
          <w:sz w:val="20"/>
        </w:rPr>
        <w:t>based</w:t>
      </w:r>
      <w:r>
        <w:rPr>
          <w:b/>
          <w:spacing w:val="-7"/>
          <w:sz w:val="20"/>
        </w:rPr>
        <w:t> </w:t>
      </w:r>
      <w:r>
        <w:rPr>
          <w:b/>
          <w:sz w:val="20"/>
        </w:rPr>
        <w:t>on</w:t>
      </w:r>
      <w:r>
        <w:rPr>
          <w:b/>
          <w:spacing w:val="-7"/>
          <w:sz w:val="20"/>
        </w:rPr>
        <w:t> </w:t>
      </w:r>
      <w:r>
        <w:rPr>
          <w:b/>
          <w:sz w:val="20"/>
        </w:rPr>
        <w:t>violations</w:t>
      </w:r>
      <w:r>
        <w:rPr>
          <w:b/>
          <w:spacing w:val="-7"/>
          <w:sz w:val="20"/>
        </w:rPr>
        <w:t> </w:t>
      </w:r>
      <w:r>
        <w:rPr>
          <w:b/>
          <w:sz w:val="20"/>
        </w:rPr>
        <w:t>of</w:t>
      </w:r>
      <w:r>
        <w:rPr>
          <w:b/>
          <w:spacing w:val="-7"/>
          <w:sz w:val="20"/>
        </w:rPr>
        <w:t> </w:t>
      </w:r>
      <w:r>
        <w:rPr>
          <w:b/>
          <w:sz w:val="20"/>
        </w:rPr>
        <w:t>the</w:t>
      </w:r>
      <w:r>
        <w:rPr>
          <w:b/>
          <w:spacing w:val="-7"/>
          <w:sz w:val="20"/>
        </w:rPr>
        <w:t> </w:t>
      </w:r>
      <w:r>
        <w:rPr>
          <w:b/>
          <w:sz w:val="20"/>
        </w:rPr>
        <w:t>Michigan</w:t>
      </w:r>
      <w:r>
        <w:rPr>
          <w:b/>
          <w:spacing w:val="-7"/>
          <w:sz w:val="20"/>
        </w:rPr>
        <w:t> </w:t>
      </w:r>
      <w:r>
        <w:rPr>
          <w:b/>
          <w:sz w:val="20"/>
        </w:rPr>
        <w:t>Constitution</w:t>
      </w:r>
      <w:r>
        <w:rPr>
          <w:b/>
          <w:spacing w:val="-7"/>
          <w:sz w:val="20"/>
        </w:rPr>
        <w:t> </w:t>
      </w:r>
      <w:r>
        <w:rPr>
          <w:b/>
          <w:sz w:val="20"/>
        </w:rPr>
        <w:t>(</w:t>
      </w:r>
      <w:r>
        <w:rPr>
          <w:b/>
          <w:color w:val="0000FF"/>
          <w:sz w:val="20"/>
          <w:u w:val="single" w:color="0000FF"/>
        </w:rPr>
        <w:t>Section</w:t>
      </w:r>
      <w:r>
        <w:rPr>
          <w:b/>
          <w:color w:val="0000FF"/>
          <w:spacing w:val="-7"/>
          <w:sz w:val="20"/>
          <w:u w:val="single" w:color="0000FF"/>
        </w:rPr>
        <w:t> </w:t>
      </w:r>
      <w:r>
        <w:rPr>
          <w:b/>
          <w:color w:val="0000FF"/>
          <w:sz w:val="20"/>
          <w:u w:val="single" w:color="0000FF"/>
        </w:rPr>
        <w:t>26</w:t>
      </w:r>
      <w:r>
        <w:rPr>
          <w:b/>
          <w:color w:val="0000FF"/>
          <w:spacing w:val="-6"/>
          <w:sz w:val="20"/>
          <w:u w:val="single" w:color="0000FF"/>
        </w:rPr>
        <w:t> </w:t>
      </w:r>
      <w:r>
        <w:rPr>
          <w:b/>
          <w:color w:val="0000FF"/>
          <w:sz w:val="20"/>
          <w:u w:val="single" w:color="0000FF"/>
        </w:rPr>
        <w:t>of</w:t>
      </w:r>
      <w:r>
        <w:rPr>
          <w:b/>
          <w:color w:val="0000FF"/>
          <w:spacing w:val="-7"/>
          <w:sz w:val="20"/>
          <w:u w:val="single" w:color="0000FF"/>
        </w:rPr>
        <w:t> </w:t>
      </w:r>
      <w:r>
        <w:rPr>
          <w:b/>
          <w:color w:val="0000FF"/>
          <w:sz w:val="20"/>
          <w:u w:val="single" w:color="0000FF"/>
        </w:rPr>
        <w:t>Article</w:t>
      </w:r>
      <w:r>
        <w:rPr>
          <w:b/>
          <w:color w:val="0000FF"/>
          <w:spacing w:val="-7"/>
          <w:sz w:val="20"/>
          <w:u w:val="single" w:color="0000FF"/>
        </w:rPr>
        <w:t> </w:t>
      </w:r>
      <w:r>
        <w:rPr>
          <w:b/>
          <w:color w:val="0000FF"/>
          <w:sz w:val="20"/>
          <w:u w:val="single" w:color="0000FF"/>
        </w:rPr>
        <w:t>I</w:t>
      </w:r>
      <w:r>
        <w:rPr>
          <w:b/>
          <w:sz w:val="20"/>
        </w:rPr>
        <w:t>),</w:t>
      </w:r>
      <w:r>
        <w:rPr>
          <w:b/>
          <w:spacing w:val="-7"/>
          <w:sz w:val="20"/>
        </w:rPr>
        <w:t> </w:t>
      </w:r>
      <w:r>
        <w:rPr>
          <w:b/>
          <w:sz w:val="20"/>
        </w:rPr>
        <w:t>which</w:t>
      </w:r>
      <w:r>
        <w:rPr>
          <w:b/>
          <w:spacing w:val="-7"/>
          <w:sz w:val="20"/>
        </w:rPr>
        <w:t> </w:t>
      </w:r>
      <w:r>
        <w:rPr>
          <w:b/>
          <w:sz w:val="20"/>
        </w:rPr>
        <w:t>forbids any </w:t>
      </w:r>
      <w:r>
        <w:rPr>
          <w:b/>
          <w:color w:val="202122"/>
          <w:sz w:val="20"/>
        </w:rPr>
        <w:t>public university from discrimination against or granting preferential treatment to any individual or group on the basis of race, sex, color, ethnicity, or national origin? </w:t>
      </w:r>
      <w:r>
        <w:rPr>
          <w:color w:val="202122"/>
          <w:sz w:val="20"/>
        </w:rPr>
        <w:t>Many faculty members are not aware of the limitations imposed by the Michigan Constitution with regards to these factors, which may impact DEI</w:t>
      </w:r>
      <w:r>
        <w:rPr>
          <w:color w:val="202122"/>
          <w:spacing w:val="-34"/>
          <w:sz w:val="20"/>
        </w:rPr>
        <w:t> </w:t>
      </w:r>
      <w:r>
        <w:rPr>
          <w:color w:val="202122"/>
          <w:sz w:val="20"/>
        </w:rPr>
        <w:t>initiatives.</w:t>
      </w:r>
    </w:p>
    <w:p>
      <w:pPr>
        <w:pStyle w:val="BodyText"/>
        <w:spacing w:before="5"/>
        <w:rPr>
          <w:sz w:val="22"/>
        </w:rPr>
      </w:pPr>
    </w:p>
    <w:p>
      <w:pPr>
        <w:pStyle w:val="BodyText"/>
        <w:spacing w:line="237" w:lineRule="auto"/>
        <w:ind w:left="1359" w:right="110"/>
        <w:jc w:val="both"/>
      </w:pPr>
      <w:r>
        <w:rPr/>
        <w:t>Finally,</w:t>
      </w:r>
      <w:r>
        <w:rPr>
          <w:spacing w:val="-12"/>
        </w:rPr>
        <w:t> </w:t>
      </w:r>
      <w:r>
        <w:rPr/>
        <w:t>in</w:t>
      </w:r>
      <w:r>
        <w:rPr>
          <w:spacing w:val="-12"/>
        </w:rPr>
        <w:t> </w:t>
      </w:r>
      <w:r>
        <w:rPr/>
        <w:t>the</w:t>
      </w:r>
      <w:r>
        <w:rPr>
          <w:spacing w:val="-11"/>
        </w:rPr>
        <w:t> </w:t>
      </w:r>
      <w:r>
        <w:rPr/>
        <w:t>spirit</w:t>
      </w:r>
      <w:r>
        <w:rPr>
          <w:spacing w:val="-11"/>
        </w:rPr>
        <w:t> </w:t>
      </w:r>
      <w:r>
        <w:rPr/>
        <w:t>of</w:t>
      </w:r>
      <w:r>
        <w:rPr>
          <w:spacing w:val="-11"/>
        </w:rPr>
        <w:t> </w:t>
      </w:r>
      <w:r>
        <w:rPr/>
        <w:t>continually</w:t>
      </w:r>
      <w:r>
        <w:rPr>
          <w:spacing w:val="-11"/>
        </w:rPr>
        <w:t> </w:t>
      </w:r>
      <w:r>
        <w:rPr/>
        <w:t>improving</w:t>
      </w:r>
      <w:r>
        <w:rPr>
          <w:spacing w:val="-12"/>
        </w:rPr>
        <w:t> </w:t>
      </w:r>
      <w:r>
        <w:rPr/>
        <w:t>MSU’s</w:t>
      </w:r>
      <w:r>
        <w:rPr>
          <w:spacing w:val="-11"/>
        </w:rPr>
        <w:t> </w:t>
      </w:r>
      <w:r>
        <w:rPr/>
        <w:t>RPT</w:t>
      </w:r>
      <w:r>
        <w:rPr>
          <w:spacing w:val="-12"/>
        </w:rPr>
        <w:t> </w:t>
      </w:r>
      <w:r>
        <w:rPr/>
        <w:t>process,</w:t>
      </w:r>
      <w:r>
        <w:rPr>
          <w:spacing w:val="-11"/>
        </w:rPr>
        <w:t> </w:t>
      </w:r>
      <w:r>
        <w:rPr/>
        <w:t>the</w:t>
      </w:r>
      <w:r>
        <w:rPr>
          <w:spacing w:val="-11"/>
        </w:rPr>
        <w:t> </w:t>
      </w:r>
      <w:r>
        <w:rPr/>
        <w:t>ECAC</w:t>
      </w:r>
      <w:r>
        <w:rPr>
          <w:spacing w:val="-12"/>
        </w:rPr>
        <w:t> </w:t>
      </w:r>
      <w:r>
        <w:rPr/>
        <w:t>wishes</w:t>
      </w:r>
      <w:r>
        <w:rPr>
          <w:spacing w:val="-12"/>
        </w:rPr>
        <w:t> </w:t>
      </w:r>
      <w:r>
        <w:rPr/>
        <w:t>to</w:t>
      </w:r>
      <w:r>
        <w:rPr>
          <w:spacing w:val="-11"/>
        </w:rPr>
        <w:t> </w:t>
      </w:r>
      <w:r>
        <w:rPr/>
        <w:t>also</w:t>
      </w:r>
      <w:r>
        <w:rPr>
          <w:spacing w:val="-12"/>
        </w:rPr>
        <w:t> </w:t>
      </w:r>
      <w:r>
        <w:rPr/>
        <w:t>raise</w:t>
      </w:r>
      <w:r>
        <w:rPr>
          <w:spacing w:val="-11"/>
        </w:rPr>
        <w:t> </w:t>
      </w:r>
      <w:r>
        <w:rPr/>
        <w:t>a</w:t>
      </w:r>
      <w:r>
        <w:rPr>
          <w:spacing w:val="-11"/>
        </w:rPr>
        <w:t> </w:t>
      </w:r>
      <w:r>
        <w:rPr/>
        <w:t>logistical</w:t>
      </w:r>
      <w:r>
        <w:rPr>
          <w:spacing w:val="-11"/>
        </w:rPr>
        <w:t> </w:t>
      </w:r>
      <w:r>
        <w:rPr/>
        <w:t>concern about</w:t>
      </w:r>
      <w:r>
        <w:rPr>
          <w:spacing w:val="-11"/>
        </w:rPr>
        <w:t> </w:t>
      </w:r>
      <w:r>
        <w:rPr/>
        <w:t>the</w:t>
      </w:r>
      <w:r>
        <w:rPr>
          <w:spacing w:val="-11"/>
        </w:rPr>
        <w:t> </w:t>
      </w:r>
      <w:r>
        <w:rPr/>
        <w:t>proposal</w:t>
      </w:r>
      <w:r>
        <w:rPr>
          <w:spacing w:val="-11"/>
        </w:rPr>
        <w:t> </w:t>
      </w:r>
      <w:r>
        <w:rPr/>
        <w:t>to</w:t>
      </w:r>
      <w:r>
        <w:rPr>
          <w:spacing w:val="-11"/>
        </w:rPr>
        <w:t> </w:t>
      </w:r>
      <w:r>
        <w:rPr/>
        <w:t>add</w:t>
      </w:r>
      <w:r>
        <w:rPr>
          <w:spacing w:val="-11"/>
        </w:rPr>
        <w:t> </w:t>
      </w:r>
      <w:r>
        <w:rPr/>
        <w:t>multiple</w:t>
      </w:r>
      <w:r>
        <w:rPr>
          <w:spacing w:val="-11"/>
        </w:rPr>
        <w:t> </w:t>
      </w:r>
      <w:r>
        <w:rPr/>
        <w:t>new</w:t>
      </w:r>
      <w:r>
        <w:rPr>
          <w:spacing w:val="-11"/>
        </w:rPr>
        <w:t> </w:t>
      </w:r>
      <w:r>
        <w:rPr/>
        <w:t>RPT</w:t>
      </w:r>
      <w:r>
        <w:rPr>
          <w:spacing w:val="-11"/>
        </w:rPr>
        <w:t> </w:t>
      </w:r>
      <w:r>
        <w:rPr/>
        <w:t>standards.</w:t>
      </w:r>
      <w:r>
        <w:rPr>
          <w:spacing w:val="-12"/>
        </w:rPr>
        <w:t> </w:t>
      </w:r>
      <w:r>
        <w:rPr/>
        <w:t>Faculty</w:t>
      </w:r>
      <w:r>
        <w:rPr>
          <w:spacing w:val="-11"/>
        </w:rPr>
        <w:t> </w:t>
      </w:r>
      <w:r>
        <w:rPr/>
        <w:t>feedback</w:t>
      </w:r>
      <w:r>
        <w:rPr>
          <w:spacing w:val="-11"/>
        </w:rPr>
        <w:t> </w:t>
      </w:r>
      <w:r>
        <w:rPr/>
        <w:t>the</w:t>
      </w:r>
      <w:r>
        <w:rPr>
          <w:spacing w:val="-11"/>
        </w:rPr>
        <w:t> </w:t>
      </w:r>
      <w:r>
        <w:rPr/>
        <w:t>ECAC</w:t>
      </w:r>
      <w:r>
        <w:rPr>
          <w:spacing w:val="-12"/>
        </w:rPr>
        <w:t> </w:t>
      </w:r>
      <w:r>
        <w:rPr/>
        <w:t>has</w:t>
      </w:r>
      <w:r>
        <w:rPr>
          <w:spacing w:val="-10"/>
        </w:rPr>
        <w:t> </w:t>
      </w:r>
      <w:r>
        <w:rPr/>
        <w:t>received</w:t>
      </w:r>
      <w:r>
        <w:rPr>
          <w:spacing w:val="-11"/>
        </w:rPr>
        <w:t> </w:t>
      </w:r>
      <w:r>
        <w:rPr/>
        <w:t>suggests</w:t>
      </w:r>
      <w:r>
        <w:rPr>
          <w:spacing w:val="-11"/>
        </w:rPr>
        <w:t> </w:t>
      </w:r>
      <w:r>
        <w:rPr/>
        <w:t>that</w:t>
      </w:r>
      <w:r>
        <w:rPr>
          <w:spacing w:val="-11"/>
        </w:rPr>
        <w:t> </w:t>
      </w:r>
      <w:r>
        <w:rPr/>
        <w:t>MSU’s RPT reporting and evaluation processes are already excessively cumbersome. The addition of new RPT standards would be expected to further increase the RPT reporting and evaluation</w:t>
      </w:r>
      <w:r>
        <w:rPr>
          <w:spacing w:val="-13"/>
        </w:rPr>
        <w:t> </w:t>
      </w:r>
      <w:r>
        <w:rPr/>
        <w:t>burdens.</w:t>
      </w:r>
    </w:p>
    <w:p>
      <w:pPr>
        <w:pStyle w:val="BodyText"/>
        <w:spacing w:before="5"/>
      </w:pPr>
    </w:p>
    <w:p>
      <w:pPr>
        <w:pStyle w:val="BodyText"/>
        <w:ind w:left="1359" w:right="110"/>
        <w:jc w:val="both"/>
      </w:pPr>
      <w:r>
        <w:rPr/>
        <w:t>Thank you in advance for your attention to these important issues the ECAC brings to you for discussion. Some of these</w:t>
      </w:r>
      <w:r>
        <w:rPr>
          <w:spacing w:val="-10"/>
        </w:rPr>
        <w:t> </w:t>
      </w:r>
      <w:r>
        <w:rPr/>
        <w:t>issues</w:t>
      </w:r>
      <w:r>
        <w:rPr>
          <w:spacing w:val="-9"/>
        </w:rPr>
        <w:t> </w:t>
      </w:r>
      <w:r>
        <w:rPr/>
        <w:t>would</w:t>
      </w:r>
      <w:r>
        <w:rPr>
          <w:spacing w:val="-11"/>
        </w:rPr>
        <w:t> </w:t>
      </w:r>
      <w:r>
        <w:rPr/>
        <w:t>potentially</w:t>
      </w:r>
      <w:r>
        <w:rPr>
          <w:spacing w:val="-10"/>
        </w:rPr>
        <w:t> </w:t>
      </w:r>
      <w:r>
        <w:rPr/>
        <w:t>have</w:t>
      </w:r>
      <w:r>
        <w:rPr>
          <w:spacing w:val="-9"/>
        </w:rPr>
        <w:t> </w:t>
      </w:r>
      <w:r>
        <w:rPr/>
        <w:t>a</w:t>
      </w:r>
      <w:r>
        <w:rPr>
          <w:spacing w:val="-11"/>
        </w:rPr>
        <w:t> </w:t>
      </w:r>
      <w:r>
        <w:rPr/>
        <w:t>campus-wide</w:t>
      </w:r>
      <w:r>
        <w:rPr>
          <w:spacing w:val="-10"/>
        </w:rPr>
        <w:t> </w:t>
      </w:r>
      <w:r>
        <w:rPr/>
        <w:t>negative</w:t>
      </w:r>
      <w:r>
        <w:rPr>
          <w:spacing w:val="-9"/>
        </w:rPr>
        <w:t> </w:t>
      </w:r>
      <w:r>
        <w:rPr/>
        <w:t>impact</w:t>
      </w:r>
      <w:r>
        <w:rPr>
          <w:spacing w:val="-10"/>
        </w:rPr>
        <w:t> </w:t>
      </w:r>
      <w:r>
        <w:rPr/>
        <w:t>on</w:t>
      </w:r>
      <w:r>
        <w:rPr>
          <w:spacing w:val="-10"/>
        </w:rPr>
        <w:t> </w:t>
      </w:r>
      <w:r>
        <w:rPr/>
        <w:t>faculty</w:t>
      </w:r>
      <w:r>
        <w:rPr>
          <w:spacing w:val="-11"/>
        </w:rPr>
        <w:t> </w:t>
      </w:r>
      <w:r>
        <w:rPr/>
        <w:t>members’</w:t>
      </w:r>
      <w:r>
        <w:rPr>
          <w:spacing w:val="-9"/>
        </w:rPr>
        <w:t> </w:t>
      </w:r>
      <w:r>
        <w:rPr/>
        <w:t>academic</w:t>
      </w:r>
      <w:r>
        <w:rPr>
          <w:spacing w:val="-10"/>
        </w:rPr>
        <w:t> </w:t>
      </w:r>
      <w:r>
        <w:rPr/>
        <w:t>freedom,</w:t>
      </w:r>
      <w:r>
        <w:rPr>
          <w:spacing w:val="-10"/>
        </w:rPr>
        <w:t> </w:t>
      </w:r>
      <w:r>
        <w:rPr/>
        <w:t>freedom from discrimination, and decision-making authority in MSU’s academic governance system. In the absence of clear guidelines and metrics, these would likely increase confusion and work burden associated with the RPT process. ECAC</w:t>
      </w:r>
      <w:r>
        <w:rPr>
          <w:spacing w:val="-15"/>
        </w:rPr>
        <w:t> </w:t>
      </w:r>
      <w:r>
        <w:rPr/>
        <w:t>members</w:t>
      </w:r>
      <w:r>
        <w:rPr>
          <w:spacing w:val="-14"/>
        </w:rPr>
        <w:t> </w:t>
      </w:r>
      <w:r>
        <w:rPr/>
        <w:t>would</w:t>
      </w:r>
      <w:r>
        <w:rPr>
          <w:spacing w:val="-13"/>
        </w:rPr>
        <w:t> </w:t>
      </w:r>
      <w:r>
        <w:rPr/>
        <w:t>be</w:t>
      </w:r>
      <w:r>
        <w:rPr>
          <w:spacing w:val="-14"/>
        </w:rPr>
        <w:t> </w:t>
      </w:r>
      <w:r>
        <w:rPr/>
        <w:t>pleased</w:t>
      </w:r>
      <w:r>
        <w:rPr>
          <w:spacing w:val="-14"/>
        </w:rPr>
        <w:t> </w:t>
      </w:r>
      <w:r>
        <w:rPr/>
        <w:t>to</w:t>
      </w:r>
      <w:r>
        <w:rPr>
          <w:spacing w:val="-14"/>
        </w:rPr>
        <w:t> </w:t>
      </w:r>
      <w:r>
        <w:rPr/>
        <w:t>share</w:t>
      </w:r>
      <w:r>
        <w:rPr>
          <w:spacing w:val="-14"/>
        </w:rPr>
        <w:t> </w:t>
      </w:r>
      <w:r>
        <w:rPr/>
        <w:t>results</w:t>
      </w:r>
      <w:r>
        <w:rPr>
          <w:spacing w:val="-13"/>
        </w:rPr>
        <w:t> </w:t>
      </w:r>
      <w:r>
        <w:rPr/>
        <w:t>of</w:t>
      </w:r>
      <w:r>
        <w:rPr>
          <w:spacing w:val="-14"/>
        </w:rPr>
        <w:t> </w:t>
      </w:r>
      <w:r>
        <w:rPr/>
        <w:t>our</w:t>
      </w:r>
      <w:r>
        <w:rPr>
          <w:spacing w:val="-14"/>
        </w:rPr>
        <w:t> </w:t>
      </w:r>
      <w:r>
        <w:rPr/>
        <w:t>literature</w:t>
      </w:r>
      <w:r>
        <w:rPr>
          <w:spacing w:val="-13"/>
        </w:rPr>
        <w:t> </w:t>
      </w:r>
      <w:r>
        <w:rPr/>
        <w:t>review</w:t>
      </w:r>
      <w:r>
        <w:rPr>
          <w:spacing w:val="-15"/>
        </w:rPr>
        <w:t> </w:t>
      </w:r>
      <w:r>
        <w:rPr/>
        <w:t>on</w:t>
      </w:r>
      <w:r>
        <w:rPr>
          <w:spacing w:val="-13"/>
        </w:rPr>
        <w:t> </w:t>
      </w:r>
      <w:r>
        <w:rPr/>
        <w:t>the</w:t>
      </w:r>
      <w:r>
        <w:rPr>
          <w:spacing w:val="-14"/>
        </w:rPr>
        <w:t> </w:t>
      </w:r>
      <w:r>
        <w:rPr/>
        <w:t>use</w:t>
      </w:r>
      <w:r>
        <w:rPr>
          <w:spacing w:val="-14"/>
        </w:rPr>
        <w:t> </w:t>
      </w:r>
      <w:r>
        <w:rPr/>
        <w:t>of</w:t>
      </w:r>
      <w:r>
        <w:rPr>
          <w:spacing w:val="-13"/>
        </w:rPr>
        <w:t> </w:t>
      </w:r>
      <w:r>
        <w:rPr/>
        <w:t>collegiality</w:t>
      </w:r>
      <w:r>
        <w:rPr>
          <w:spacing w:val="-15"/>
        </w:rPr>
        <w:t> </w:t>
      </w:r>
      <w:r>
        <w:rPr/>
        <w:t>as</w:t>
      </w:r>
      <w:r>
        <w:rPr>
          <w:spacing w:val="-13"/>
        </w:rPr>
        <w:t> </w:t>
      </w:r>
      <w:r>
        <w:rPr/>
        <w:t>an</w:t>
      </w:r>
      <w:r>
        <w:rPr>
          <w:spacing w:val="-15"/>
        </w:rPr>
        <w:t> </w:t>
      </w:r>
      <w:r>
        <w:rPr/>
        <w:t>RPT</w:t>
      </w:r>
      <w:r>
        <w:rPr>
          <w:spacing w:val="-15"/>
        </w:rPr>
        <w:t> </w:t>
      </w:r>
      <w:r>
        <w:rPr/>
        <w:t>standard and to participate in discussions of this issue, as the Faculty Senate formulates its recommendation(s), and communicates its recommendation(s) to the MSU President and</w:t>
      </w:r>
      <w:r>
        <w:rPr>
          <w:spacing w:val="-11"/>
        </w:rPr>
        <w:t> </w:t>
      </w:r>
      <w:r>
        <w:rPr/>
        <w:t>Provost.</w:t>
      </w:r>
    </w:p>
    <w:p>
      <w:pPr>
        <w:pStyle w:val="BodyText"/>
        <w:spacing w:before="3"/>
      </w:pPr>
    </w:p>
    <w:p>
      <w:pPr>
        <w:pStyle w:val="BodyText"/>
        <w:ind w:left="1359"/>
      </w:pPr>
      <w:r>
        <w:rPr/>
        <w:t>Sincerely,</w:t>
      </w:r>
    </w:p>
    <w:p>
      <w:pPr>
        <w:pStyle w:val="BodyText"/>
        <w:spacing w:before="7"/>
        <w:rPr>
          <w:sz w:val="19"/>
        </w:rPr>
      </w:pPr>
    </w:p>
    <w:p>
      <w:pPr>
        <w:pStyle w:val="BodyText"/>
        <w:spacing w:before="1"/>
        <w:ind w:left="1359"/>
      </w:pPr>
      <w:r>
        <w:rPr/>
        <w:t>Engineering College Advisory Council</w:t>
      </w:r>
    </w:p>
    <w:sectPr>
      <w:pgSz w:w="12240" w:h="15840"/>
      <w:pgMar w:top="1380" w:bottom="280" w:left="46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14" w:hanging="197"/>
      </w:pPr>
      <w:rPr>
        <w:rFonts w:hint="default" w:ascii="Symbol" w:hAnsi="Symbol" w:eastAsia="Symbol" w:cs="Symbol"/>
        <w:w w:val="100"/>
        <w:sz w:val="24"/>
        <w:szCs w:val="24"/>
      </w:rPr>
    </w:lvl>
    <w:lvl w:ilvl="1">
      <w:start w:val="0"/>
      <w:numFmt w:val="bullet"/>
      <w:lvlText w:val="•"/>
      <w:lvlJc w:val="left"/>
      <w:pPr>
        <w:ind w:left="1187" w:hanging="197"/>
      </w:pPr>
      <w:rPr>
        <w:rFonts w:hint="default"/>
      </w:rPr>
    </w:lvl>
    <w:lvl w:ilvl="2">
      <w:start w:val="0"/>
      <w:numFmt w:val="bullet"/>
      <w:lvlText w:val="•"/>
      <w:lvlJc w:val="left"/>
      <w:pPr>
        <w:ind w:left="2055" w:hanging="197"/>
      </w:pPr>
      <w:rPr>
        <w:rFonts w:hint="default"/>
      </w:rPr>
    </w:lvl>
    <w:lvl w:ilvl="3">
      <w:start w:val="0"/>
      <w:numFmt w:val="bullet"/>
      <w:lvlText w:val="•"/>
      <w:lvlJc w:val="left"/>
      <w:pPr>
        <w:ind w:left="2922" w:hanging="197"/>
      </w:pPr>
      <w:rPr>
        <w:rFonts w:hint="default"/>
      </w:rPr>
    </w:lvl>
    <w:lvl w:ilvl="4">
      <w:start w:val="0"/>
      <w:numFmt w:val="bullet"/>
      <w:lvlText w:val="•"/>
      <w:lvlJc w:val="left"/>
      <w:pPr>
        <w:ind w:left="3790" w:hanging="197"/>
      </w:pPr>
      <w:rPr>
        <w:rFonts w:hint="default"/>
      </w:rPr>
    </w:lvl>
    <w:lvl w:ilvl="5">
      <w:start w:val="0"/>
      <w:numFmt w:val="bullet"/>
      <w:lvlText w:val="•"/>
      <w:lvlJc w:val="left"/>
      <w:pPr>
        <w:ind w:left="4657" w:hanging="197"/>
      </w:pPr>
      <w:rPr>
        <w:rFonts w:hint="default"/>
      </w:rPr>
    </w:lvl>
    <w:lvl w:ilvl="6">
      <w:start w:val="0"/>
      <w:numFmt w:val="bullet"/>
      <w:lvlText w:val="•"/>
      <w:lvlJc w:val="left"/>
      <w:pPr>
        <w:ind w:left="5525" w:hanging="197"/>
      </w:pPr>
      <w:rPr>
        <w:rFonts w:hint="default"/>
      </w:rPr>
    </w:lvl>
    <w:lvl w:ilvl="7">
      <w:start w:val="0"/>
      <w:numFmt w:val="bullet"/>
      <w:lvlText w:val="•"/>
      <w:lvlJc w:val="left"/>
      <w:pPr>
        <w:ind w:left="6392" w:hanging="197"/>
      </w:pPr>
      <w:rPr>
        <w:rFonts w:hint="default"/>
      </w:rPr>
    </w:lvl>
    <w:lvl w:ilvl="8">
      <w:start w:val="0"/>
      <w:numFmt w:val="bullet"/>
      <w:lvlText w:val="•"/>
      <w:lvlJc w:val="left"/>
      <w:pPr>
        <w:ind w:left="7260" w:hanging="19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ind w:left="314" w:hanging="198"/>
      <w:jc w:val="both"/>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314" w:hanging="198"/>
      <w:jc w:val="both"/>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17" ma:contentTypeDescription="Create a new document." ma:contentTypeScope="" ma:versionID="6e605d4f1c77109a6325470dd70a44d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78e1c4fd8235c7624a0bd5a8c714b07d"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documentManagement>
</p:properties>
</file>

<file path=customXml/itemProps1.xml><?xml version="1.0" encoding="utf-8"?>
<ds:datastoreItem xmlns:ds="http://schemas.openxmlformats.org/officeDocument/2006/customXml" ds:itemID="{9DF41CC6-97C4-47F1-8101-06499A83DA94}"/>
</file>

<file path=customXml/itemProps2.xml><?xml version="1.0" encoding="utf-8"?>
<ds:datastoreItem xmlns:ds="http://schemas.openxmlformats.org/officeDocument/2006/customXml" ds:itemID="{873C0470-95C0-4164-B4D9-D5AA380724B6}"/>
</file>

<file path=customXml/itemProps3.xml><?xml version="1.0" encoding="utf-8"?>
<ds:datastoreItem xmlns:ds="http://schemas.openxmlformats.org/officeDocument/2006/customXml" ds:itemID="{BCDE459D-DC80-4C43-BE5D-1F0E4DE10241}"/>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ECAC Letter to Faculty Senate</dc:title>
  <dcterms:created xsi:type="dcterms:W3CDTF">2022-03-14T20:48:37Z</dcterms:created>
  <dcterms:modified xsi:type="dcterms:W3CDTF">2022-03-14T20:48:37Z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2021-08-04T00:00:00Z</vt:filetime>
  </property>
  <property fmtid="{D5CDD505-2E9C-101B-9397-08002B2CF9AE}" pid="3" name="Creator">
    <vt:lpwstr>Word</vt:lpwstr>
  </property>
  <property fmtid="{D5CDD505-2E9C-101B-9397-08002B2CF9AE}" pid="4" name="LastSaved">
    <vt:filetime>2022-03-14T00:00:00Z</vt:filetime>
  </property>
  <property fmtid="{D5CDD505-2E9C-101B-9397-08002B2CF9AE}" pid="5" name="ContentTypeId">
    <vt:lpwstr>0x010100373BE68F7849A845B253768CFB280D40</vt:lpwstr>
  </property>
</Properties>
</file>