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825"/>
        <w:tblGridChange w:id="0">
          <w:tblGrid>
            <w:gridCol w:w="15825"/>
          </w:tblGrid>
        </w:tblGridChange>
      </w:tblGrid>
      <w:tr>
        <w:trPr>
          <w:cantSplit w:val="0"/>
          <w:trHeight w:val="1259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after="60" w:before="60" w:line="240" w:lineRule="auto"/>
              <w:jc w:val="center"/>
              <w:rPr>
                <w:rFonts w:ascii="Permanent Marker" w:cs="Permanent Marker" w:eastAsia="Permanent Marker" w:hAnsi="Permanent Marker"/>
                <w:color w:val="fbc0c9"/>
                <w:sz w:val="52"/>
                <w:szCs w:val="52"/>
              </w:rPr>
            </w:pPr>
            <w:bookmarkStart w:colFirst="0" w:colLast="0" w:name="_ubfp7bsokhyv" w:id="0"/>
            <w:bookmarkEnd w:id="0"/>
            <w:r w:rsidDel="00000000" w:rsidR="00000000" w:rsidRPr="00000000">
              <w:rPr>
                <w:rFonts w:ascii="Permanent Marker" w:cs="Permanent Marker" w:eastAsia="Permanent Marker" w:hAnsi="Permanent Marker"/>
                <w:color w:val="fbc0c9"/>
                <w:sz w:val="52"/>
                <w:szCs w:val="52"/>
                <w:rtl w:val="0"/>
              </w:rPr>
              <w:t xml:space="preserve">Des mots, des perceptions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4000.0000000000005"/>
        <w:gridCol w:w="4000.0000000000005"/>
        <w:gridCol w:w="4000.0000000000005"/>
        <w:tblGridChange w:id="0">
          <w:tblGrid>
            <w:gridCol w:w="2100"/>
            <w:gridCol w:w="4000.0000000000005"/>
            <w:gridCol w:w="4000.0000000000005"/>
            <w:gridCol w:w="400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Que signifie ce mot, pour les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élèves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de la classe ?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Que signifie ce mot, pour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Manu 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?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Que signifie ce mot, pour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Unam 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Guerre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Prison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Paix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Souhait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Panique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Cauchemar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ermanent Marker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ermanentMarker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