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83.0" w:type="dxa"/>
        <w:jc w:val="left"/>
        <w:tblInd w:w="-30.0" w:type="dxa"/>
        <w:tblLayout w:type="fixed"/>
        <w:tblLook w:val="0000"/>
      </w:tblPr>
      <w:tblGrid>
        <w:gridCol w:w="3089"/>
        <w:gridCol w:w="6694"/>
        <w:tblGridChange w:id="0">
          <w:tblGrid>
            <w:gridCol w:w="3089"/>
            <w:gridCol w:w="6694"/>
          </w:tblGrid>
        </w:tblGridChange>
      </w:tblGrid>
      <w:tr>
        <w:trPr>
          <w:cantSplit w:val="0"/>
          <w:tblHeader w:val="0"/>
        </w:trPr>
        <w:tc>
          <w:tcPr>
            <w:shd w:fill="ffffff" w:val="clear"/>
            <w:tcMar>
              <w:top w:w="30.0" w:type="dxa"/>
              <w:left w:w="30.0" w:type="dxa"/>
              <w:bottom w:w="30.0" w:type="dxa"/>
              <w:right w:w="30.0" w:type="dxa"/>
            </w:tcMar>
            <w:vAlign w:val="top"/>
          </w:tcPr>
          <w:p w:rsidR="00000000" w:rsidDel="00000000" w:rsidP="00000000" w:rsidRDefault="00000000" w:rsidRPr="00000000" w14:paraId="00000002">
            <w:pPr>
              <w:spacing w:after="120" w:before="120" w:lineRule="auto"/>
              <w:jc w:val="center"/>
              <w:rPr>
                <w:rFonts w:ascii="Times New Roman" w:cs="Times New Roman" w:eastAsia="Times New Roman" w:hAnsi="Times New Roman"/>
                <w:b w:val="0"/>
                <w:bCs w:val="0"/>
                <w:color w:val="0070c0"/>
                <w:sz w:val="24"/>
                <w:szCs w:val="24"/>
                <w:vertAlign w:val="baseline"/>
              </w:rPr>
            </w:pPr>
            <w:r w:rsidDel="00000000" w:rsidR="00000000" w:rsidRPr="00000000">
              <w:rPr>
                <w:rFonts w:ascii="Times New Roman" w:cs="Times New Roman" w:eastAsia="Times New Roman" w:hAnsi="Times New Roman"/>
                <w:b w:val="1"/>
                <w:bCs w:val="1"/>
                <w:color w:val="0070c0"/>
                <w:sz w:val="24"/>
                <w:szCs w:val="24"/>
                <w:vertAlign w:val="baseline"/>
                <w:rtl w:val="0"/>
              </w:rPr>
              <w:t xml:space="preserve">(TÊN DOANH NGHIỆP)</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03">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CỘNG HÒA XÃ HỘI CHỦ NGHĨA VIỆT NAM</w:t>
              <w:br w:type="textWrapping"/>
            </w:r>
            <w:r w:rsidDel="00000000" w:rsidR="00000000" w:rsidRPr="00000000">
              <w:rPr>
                <w:rFonts w:ascii="Times New Roman" w:cs="Times New Roman" w:eastAsia="Times New Roman" w:hAnsi="Times New Roman"/>
                <w:b w:val="1"/>
                <w:bCs w:val="1"/>
                <w:color w:val="000000"/>
                <w:sz w:val="26"/>
                <w:szCs w:val="26"/>
                <w:u w:val="single"/>
                <w:vertAlign w:val="baseline"/>
                <w:rtl w:val="0"/>
              </w:rPr>
              <w:t xml:space="preserve">Độc lập - Tự do - Hạnh phúc</w:t>
            </w:r>
            <w:r w:rsidDel="00000000" w:rsidR="00000000" w:rsidRPr="00000000">
              <w:rPr>
                <w:rFonts w:ascii="Times New Roman" w:cs="Times New Roman" w:eastAsia="Times New Roman" w:hAnsi="Times New Roman"/>
                <w:b w:val="1"/>
                <w:bCs w:val="1"/>
                <w:color w:val="000000"/>
                <w:sz w:val="24"/>
                <w:szCs w:val="24"/>
                <w:vertAlign w:val="baseline"/>
                <w:rtl w:val="0"/>
              </w:rPr>
              <w:t xml:space="preserve"> </w:t>
              <w:br w:type="textWrapping"/>
            </w:r>
            <w:r w:rsidDel="00000000" w:rsidR="00000000" w:rsidRPr="00000000">
              <w:rPr>
                <w:rtl w:val="0"/>
              </w:rPr>
            </w:r>
          </w:p>
        </w:tc>
      </w:tr>
      <w:tr>
        <w:trPr>
          <w:cantSplit w:val="0"/>
          <w:tblHeader w:val="0"/>
        </w:trPr>
        <w:tc>
          <w:tcPr>
            <w:shd w:fill="ffffff" w:val="clear"/>
            <w:tcMar>
              <w:top w:w="30.0" w:type="dxa"/>
              <w:left w:w="30.0" w:type="dxa"/>
              <w:bottom w:w="30.0" w:type="dxa"/>
              <w:right w:w="30.0" w:type="dxa"/>
            </w:tcMar>
            <w:vAlign w:val="center"/>
          </w:tcPr>
          <w:p w:rsidR="00000000" w:rsidDel="00000000" w:rsidP="00000000" w:rsidRDefault="00000000" w:rsidRPr="00000000" w14:paraId="00000004">
            <w:pPr>
              <w:tabs>
                <w:tab w:val="left" w:leader="none" w:pos="2268"/>
              </w:tabs>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Số: …</w:t>
            </w:r>
          </w:p>
        </w:tc>
        <w:tc>
          <w:tcPr>
            <w:shd w:fill="ffffff" w:val="clear"/>
            <w:tcMar>
              <w:top w:w="30.0" w:type="dxa"/>
              <w:left w:w="30.0" w:type="dxa"/>
              <w:bottom w:w="30.0" w:type="dxa"/>
              <w:right w:w="30.0" w:type="dxa"/>
            </w:tcMar>
          </w:tcPr>
          <w:p w:rsidR="00000000" w:rsidDel="00000000" w:rsidP="00000000" w:rsidRDefault="00000000" w:rsidRPr="00000000" w14:paraId="00000005">
            <w:pPr>
              <w:tabs>
                <w:tab w:val="left" w:leader="none" w:pos="2268"/>
                <w:tab w:val="left" w:leader="none" w:pos="3402"/>
                <w:tab w:val="left" w:leader="none" w:pos="4536"/>
                <w:tab w:val="left" w:leader="none" w:pos="5670"/>
              </w:tabs>
              <w:spacing w:after="120" w:before="12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i w:val="1"/>
                <w:iCs w:val="1"/>
                <w:color w:val="000000"/>
                <w:sz w:val="24"/>
                <w:szCs w:val="24"/>
                <w:vertAlign w:val="baseline"/>
                <w:rtl w:val="0"/>
              </w:rPr>
              <w:t xml:space="preserve">…, ngày … tháng …  năm … </w:t>
            </w:r>
            <w:r w:rsidDel="00000000" w:rsidR="00000000" w:rsidRPr="00000000">
              <w:rPr>
                <w:rtl w:val="0"/>
              </w:rPr>
            </w:r>
          </w:p>
        </w:tc>
      </w:tr>
    </w:tbl>
    <w:p w:rsidR="00000000" w:rsidDel="00000000" w:rsidP="00000000" w:rsidRDefault="00000000" w:rsidRPr="00000000" w14:paraId="00000006">
      <w:pPr>
        <w:shd w:fill="ffffff" w:val="clea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p>
    <w:p w:rsidR="00000000" w:rsidDel="00000000" w:rsidP="00000000" w:rsidRDefault="00000000" w:rsidRPr="00000000" w14:paraId="00000007">
      <w:pPr>
        <w:shd w:fill="ffffff" w:val="clea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QUYẾT ĐỊNH</w:t>
      </w:r>
      <w:r w:rsidDel="00000000" w:rsidR="00000000" w:rsidRPr="00000000">
        <w:rPr>
          <w:rtl w:val="0"/>
        </w:rPr>
      </w:r>
    </w:p>
    <w:p w:rsidR="00000000" w:rsidDel="00000000" w:rsidP="00000000" w:rsidRDefault="00000000" w:rsidRPr="00000000" w14:paraId="00000008">
      <w:pPr>
        <w:shd w:fill="ffffff" w:val="clea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Về việc thành lập hội đồng thẩm định trích lập dự phòng giảm giá hàng tồn kho</w:t>
      </w:r>
      <w:r w:rsidDel="00000000" w:rsidR="00000000" w:rsidRPr="00000000">
        <w:rPr>
          <w:rtl w:val="0"/>
        </w:rPr>
      </w:r>
    </w:p>
    <w:p w:rsidR="00000000" w:rsidDel="00000000" w:rsidP="00000000" w:rsidRDefault="00000000" w:rsidRPr="00000000" w14:paraId="00000009">
      <w:pPr>
        <w:shd w:fill="ffffff" w:val="clear"/>
        <w:spacing w:after="120" w:before="12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0A">
      <w:pPr>
        <w:shd w:fill="ffffff" w:val="clear"/>
        <w:spacing w:after="120" w:before="120" w:lineRule="auto"/>
        <w:jc w:val="both"/>
        <w:rPr>
          <w:rFonts w:ascii="Times New Roman" w:cs="Times New Roman" w:eastAsia="Times New Roman" w:hAnsi="Times New Roman"/>
          <w:i w:val="0"/>
          <w:iCs w:val="0"/>
          <w:color w:val="000000"/>
          <w:sz w:val="24"/>
          <w:szCs w:val="24"/>
          <w:shd w:fill="fffbf4" w:val="clear"/>
          <w:vertAlign w:val="baseline"/>
        </w:rPr>
      </w:pPr>
      <w:r w:rsidDel="00000000" w:rsidR="00000000" w:rsidRPr="00000000">
        <w:rPr>
          <w:rFonts w:ascii="Times New Roman" w:cs="Times New Roman" w:eastAsia="Times New Roman" w:hAnsi="Times New Roman"/>
          <w:i w:val="1"/>
          <w:iCs w:val="1"/>
          <w:color w:val="000000"/>
          <w:sz w:val="24"/>
          <w:szCs w:val="24"/>
          <w:vertAlign w:val="baseline"/>
          <w:rtl w:val="0"/>
        </w:rPr>
        <w:t xml:space="preserve">- Căn cứ Thông tư số 228/2009/TT-BTC </w:t>
      </w:r>
      <w:r w:rsidDel="00000000" w:rsidR="00000000" w:rsidRPr="00000000">
        <w:rPr>
          <w:rFonts w:ascii="Times New Roman" w:cs="Times New Roman" w:eastAsia="Times New Roman" w:hAnsi="Times New Roman"/>
          <w:i w:val="1"/>
          <w:iCs w:val="1"/>
          <w:color w:val="000000"/>
          <w:sz w:val="24"/>
          <w:szCs w:val="24"/>
          <w:shd w:fill="fffbf4" w:val="clear"/>
          <w:vertAlign w:val="baseline"/>
          <w:rtl w:val="0"/>
        </w:rPr>
        <w:t xml:space="preserve">hướng dẫn chế độ trích lập và sử dụng các khoản dự phòng giảm giá hàng tồn kho, tổn thất các khoản đầu tư tài chính, nợ phải thu khó đòi và bảo hành sản phẩm, hàng hóa, công trình xây lắp tại doanh nghiệp do Bộ Tài chính ban hành;</w:t>
      </w:r>
      <w:r w:rsidDel="00000000" w:rsidR="00000000" w:rsidRPr="00000000">
        <w:rPr>
          <w:rtl w:val="0"/>
        </w:rPr>
      </w:r>
    </w:p>
    <w:p w:rsidR="00000000" w:rsidDel="00000000" w:rsidP="00000000" w:rsidRDefault="00000000" w:rsidRPr="00000000" w14:paraId="0000000B">
      <w:pPr>
        <w:shd w:fill="ffffff" w:val="clear"/>
        <w:spacing w:after="120" w:before="120" w:lineRule="auto"/>
        <w:jc w:val="both"/>
        <w:rPr>
          <w:rFonts w:ascii="Times New Roman" w:cs="Times New Roman" w:eastAsia="Times New Roman" w:hAnsi="Times New Roman"/>
          <w:i w:val="0"/>
          <w:iCs w:val="0"/>
          <w:color w:val="000000"/>
          <w:sz w:val="24"/>
          <w:szCs w:val="24"/>
          <w:shd w:fill="fffbf4" w:val="clear"/>
          <w:vertAlign w:val="baseline"/>
        </w:rPr>
      </w:pPr>
      <w:r w:rsidDel="00000000" w:rsidR="00000000" w:rsidRPr="00000000">
        <w:rPr>
          <w:rFonts w:ascii="Times New Roman" w:cs="Times New Roman" w:eastAsia="Times New Roman" w:hAnsi="Times New Roman"/>
          <w:i w:val="1"/>
          <w:iCs w:val="1"/>
          <w:color w:val="000000"/>
          <w:sz w:val="24"/>
          <w:szCs w:val="24"/>
          <w:shd w:fill="fffbf4" w:val="clear"/>
          <w:vertAlign w:val="baseline"/>
          <w:rtl w:val="0"/>
        </w:rPr>
        <w:t xml:space="preserve">- Căn cứ Thông tư số 200/2014/TT-BTC hướng dẫn Chế độ kế toán Doanh nghiệp do Bộ Tài chính ban hành;</w:t>
      </w:r>
      <w:r w:rsidDel="00000000" w:rsidR="00000000" w:rsidRPr="00000000">
        <w:rPr>
          <w:rtl w:val="0"/>
        </w:rPr>
      </w:r>
    </w:p>
    <w:p w:rsidR="00000000" w:rsidDel="00000000" w:rsidP="00000000" w:rsidRDefault="00000000" w:rsidRPr="00000000" w14:paraId="0000000C">
      <w:pPr>
        <w:shd w:fill="ffffff" w:val="clear"/>
        <w:spacing w:after="120" w:before="120" w:lineRule="auto"/>
        <w:jc w:val="both"/>
        <w:rPr>
          <w:rFonts w:ascii="Times New Roman" w:cs="Times New Roman" w:eastAsia="Times New Roman" w:hAnsi="Times New Roman"/>
          <w:i w:val="0"/>
          <w:iCs w:val="0"/>
          <w:color w:val="000000"/>
          <w:sz w:val="24"/>
          <w:szCs w:val="24"/>
          <w:vertAlign w:val="baseline"/>
        </w:rPr>
      </w:pPr>
      <w:r w:rsidDel="00000000" w:rsidR="00000000" w:rsidRPr="00000000">
        <w:rPr>
          <w:rFonts w:ascii="Times New Roman" w:cs="Times New Roman" w:eastAsia="Times New Roman" w:hAnsi="Times New Roman"/>
          <w:i w:val="1"/>
          <w:iCs w:val="1"/>
          <w:color w:val="000000"/>
          <w:sz w:val="24"/>
          <w:szCs w:val="24"/>
          <w:shd w:fill="fffbf4" w:val="clear"/>
          <w:vertAlign w:val="baseline"/>
          <w:rtl w:val="0"/>
        </w:rPr>
        <w:t xml:space="preserve">- Căn cứ Điều lệ công ty và tình hình thực tế hoạt động kinh doanh của Công ty ……… (</w:t>
      </w:r>
      <w:r w:rsidDel="00000000" w:rsidR="00000000" w:rsidRPr="00000000">
        <w:rPr>
          <w:rFonts w:ascii="Times New Roman" w:cs="Times New Roman" w:eastAsia="Times New Roman" w:hAnsi="Times New Roman"/>
          <w:i w:val="1"/>
          <w:iCs w:val="1"/>
          <w:color w:val="0070c0"/>
          <w:sz w:val="24"/>
          <w:szCs w:val="24"/>
          <w:shd w:fill="fffbf4" w:val="clear"/>
          <w:vertAlign w:val="baseline"/>
          <w:rtl w:val="0"/>
        </w:rPr>
        <w:t xml:space="preserve">Tên doanh nghiệp)</w:t>
      </w:r>
      <w:r w:rsidDel="00000000" w:rsidR="00000000" w:rsidRPr="00000000">
        <w:rPr>
          <w:rFonts w:ascii="Times New Roman" w:cs="Times New Roman" w:eastAsia="Times New Roman" w:hAnsi="Times New Roman"/>
          <w:i w:val="1"/>
          <w:iCs w:val="1"/>
          <w:color w:val="000000"/>
          <w:sz w:val="24"/>
          <w:szCs w:val="24"/>
          <w:shd w:fill="fffbf4" w:val="clear"/>
          <w:vertAlign w:val="baseline"/>
          <w:rtl w:val="0"/>
        </w:rPr>
        <w:t xml:space="preserve">.</w:t>
      </w:r>
      <w:r w:rsidDel="00000000" w:rsidR="00000000" w:rsidRPr="00000000">
        <w:rPr>
          <w:rtl w:val="0"/>
        </w:rPr>
      </w:r>
    </w:p>
    <w:p w:rsidR="00000000" w:rsidDel="00000000" w:rsidP="00000000" w:rsidRDefault="00000000" w:rsidRPr="00000000" w14:paraId="0000000D">
      <w:pPr>
        <w:shd w:fill="ffffff" w:val="clear"/>
        <w:spacing w:after="120" w:before="120" w:lineRule="auto"/>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E">
      <w:pPr>
        <w:shd w:fill="ffffff" w:val="clea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QUYẾT ĐỊNH:</w:t>
      </w:r>
      <w:r w:rsidDel="00000000" w:rsidR="00000000" w:rsidRPr="00000000">
        <w:rPr>
          <w:rtl w:val="0"/>
        </w:rPr>
      </w:r>
    </w:p>
    <w:p w:rsidR="00000000" w:rsidDel="00000000" w:rsidP="00000000" w:rsidRDefault="00000000" w:rsidRPr="00000000" w14:paraId="0000000F">
      <w:pPr>
        <w:shd w:fill="ffffff" w:val="clear"/>
        <w:spacing w:after="120" w:before="120" w:lineRule="auto"/>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Điều 1.</w:t>
      </w:r>
      <w:r w:rsidDel="00000000" w:rsidR="00000000" w:rsidRPr="00000000">
        <w:rPr>
          <w:rFonts w:ascii="Times New Roman" w:cs="Times New Roman" w:eastAsia="Times New Roman" w:hAnsi="Times New Roman"/>
          <w:color w:val="000000"/>
          <w:sz w:val="24"/>
          <w:szCs w:val="24"/>
          <w:vertAlign w:val="baseline"/>
          <w:rtl w:val="0"/>
        </w:rPr>
        <w:t xml:space="preserve"> Thành lập hội đồng thẩm định trích lập dự phòng giảm giá hàng tồn kho của </w:t>
      </w:r>
      <w:r w:rsidDel="00000000" w:rsidR="00000000" w:rsidRPr="00000000">
        <w:rPr>
          <w:rFonts w:ascii="Times New Roman" w:cs="Times New Roman" w:eastAsia="Times New Roman" w:hAnsi="Times New Roman"/>
          <w:i w:val="1"/>
          <w:iCs w:val="1"/>
          <w:color w:val="000000"/>
          <w:sz w:val="24"/>
          <w:szCs w:val="24"/>
          <w:shd w:fill="fffbf4" w:val="clear"/>
          <w:vertAlign w:val="baseline"/>
          <w:rtl w:val="0"/>
        </w:rPr>
        <w:t xml:space="preserve">Công ty ……… (</w:t>
      </w:r>
      <w:r w:rsidDel="00000000" w:rsidR="00000000" w:rsidRPr="00000000">
        <w:rPr>
          <w:rFonts w:ascii="Times New Roman" w:cs="Times New Roman" w:eastAsia="Times New Roman" w:hAnsi="Times New Roman"/>
          <w:i w:val="1"/>
          <w:iCs w:val="1"/>
          <w:color w:val="0070c0"/>
          <w:sz w:val="24"/>
          <w:szCs w:val="24"/>
          <w:shd w:fill="fffbf4" w:val="clear"/>
          <w:vertAlign w:val="baseline"/>
          <w:rtl w:val="0"/>
        </w:rPr>
        <w:t xml:space="preserve">Tên doanh nghiệp</w:t>
      </w:r>
      <w:r w:rsidDel="00000000" w:rsidR="00000000" w:rsidRPr="00000000">
        <w:rPr>
          <w:rFonts w:ascii="Times New Roman" w:cs="Times New Roman" w:eastAsia="Times New Roman" w:hAnsi="Times New Roman"/>
          <w:i w:val="1"/>
          <w:iCs w:val="1"/>
          <w:color w:val="000000"/>
          <w:sz w:val="24"/>
          <w:szCs w:val="24"/>
          <w:shd w:fill="fffbf4" w:val="clear"/>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gồm các Ông (Bà) có tên sau đây:</w:t>
      </w:r>
    </w:p>
    <w:tbl>
      <w:tblPr>
        <w:tblStyle w:val="Table2"/>
        <w:tblW w:w="988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4"/>
        <w:gridCol w:w="1526"/>
        <w:gridCol w:w="2102"/>
        <w:gridCol w:w="1865"/>
        <w:gridCol w:w="3578"/>
        <w:tblGridChange w:id="0">
          <w:tblGrid>
            <w:gridCol w:w="814"/>
            <w:gridCol w:w="1526"/>
            <w:gridCol w:w="2102"/>
            <w:gridCol w:w="1865"/>
            <w:gridCol w:w="3578"/>
          </w:tblGrid>
        </w:tblGridChange>
      </w:tblGrid>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10">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TT</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1">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Họ và tên</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2">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Học hàm, Học vị</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3">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Nơi công tác</w:t>
            </w: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4">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Chức danh trong hội đồng</w:t>
            </w:r>
            <w:r w:rsidDel="00000000" w:rsidR="00000000" w:rsidRPr="00000000">
              <w:rPr>
                <w:rtl w:val="0"/>
              </w:rPr>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15">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1</w:t>
            </w:r>
          </w:p>
        </w:tc>
        <w:tc>
          <w:tcPr>
            <w:shd w:fill="ffffff" w:val="clear"/>
            <w:tcMar>
              <w:top w:w="30.0" w:type="dxa"/>
              <w:left w:w="30.0" w:type="dxa"/>
              <w:bottom w:w="30.0" w:type="dxa"/>
              <w:right w:w="30.0" w:type="dxa"/>
            </w:tcMar>
          </w:tcPr>
          <w:p w:rsidR="00000000" w:rsidDel="00000000" w:rsidP="00000000" w:rsidRDefault="00000000" w:rsidRPr="00000000" w14:paraId="00000016">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7">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8">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9">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Tổng giám đốc</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1A">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2</w:t>
            </w:r>
          </w:p>
        </w:tc>
        <w:tc>
          <w:tcPr>
            <w:shd w:fill="ffffff" w:val="clear"/>
            <w:tcMar>
              <w:top w:w="30.0" w:type="dxa"/>
              <w:left w:w="30.0" w:type="dxa"/>
              <w:bottom w:w="30.0" w:type="dxa"/>
              <w:right w:w="30.0" w:type="dxa"/>
            </w:tcMar>
          </w:tcPr>
          <w:p w:rsidR="00000000" w:rsidDel="00000000" w:rsidP="00000000" w:rsidRDefault="00000000" w:rsidRPr="00000000" w14:paraId="0000001B">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C">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D">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1E">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Giám đốc</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3</w:t>
            </w:r>
          </w:p>
        </w:tc>
        <w:tc>
          <w:tcPr>
            <w:shd w:fill="ffffff" w:val="clear"/>
            <w:tcMar>
              <w:top w:w="30.0" w:type="dxa"/>
              <w:left w:w="30.0" w:type="dxa"/>
              <w:bottom w:w="30.0" w:type="dxa"/>
              <w:right w:w="30.0" w:type="dxa"/>
            </w:tcMar>
          </w:tcPr>
          <w:p w:rsidR="00000000" w:rsidDel="00000000" w:rsidP="00000000" w:rsidRDefault="00000000" w:rsidRPr="00000000" w14:paraId="00000020">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1">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2">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3">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Kế toán trưởng</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4</w:t>
            </w:r>
          </w:p>
        </w:tc>
        <w:tc>
          <w:tcPr>
            <w:shd w:fill="ffffff" w:val="clear"/>
            <w:tcMar>
              <w:top w:w="30.0" w:type="dxa"/>
              <w:left w:w="30.0" w:type="dxa"/>
              <w:bottom w:w="30.0" w:type="dxa"/>
              <w:right w:w="30.0" w:type="dxa"/>
            </w:tcMar>
          </w:tcPr>
          <w:p w:rsidR="00000000" w:rsidDel="00000000" w:rsidP="00000000" w:rsidRDefault="00000000" w:rsidRPr="00000000" w14:paraId="00000025">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6">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Trưởng phòng (ban)</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5</w:t>
            </w:r>
          </w:p>
        </w:tc>
        <w:tc>
          <w:tcPr>
            <w:shd w:fill="ffffff" w:val="clear"/>
            <w:tcMar>
              <w:top w:w="30.0" w:type="dxa"/>
              <w:left w:w="30.0" w:type="dxa"/>
              <w:bottom w:w="30.0" w:type="dxa"/>
              <w:right w:w="30.0" w:type="dxa"/>
            </w:tcMar>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Chuyên gia</w:t>
            </w:r>
          </w:p>
        </w:tc>
      </w:tr>
      <w:tr>
        <w:trPr>
          <w:cantSplit w:val="0"/>
          <w:tblHeader w:val="0"/>
        </w:trPr>
        <w:tc>
          <w:tcPr>
            <w:shd w:fill="ffffff" w:val="clear"/>
            <w:tcMar>
              <w:top w:w="30.0" w:type="dxa"/>
              <w:left w:w="30.0" w:type="dxa"/>
              <w:bottom w:w="30.0" w:type="dxa"/>
              <w:right w:w="30.0" w:type="dxa"/>
            </w:tcMar>
          </w:tcPr>
          <w:p w:rsidR="00000000" w:rsidDel="00000000" w:rsidP="00000000" w:rsidRDefault="00000000" w:rsidRPr="00000000" w14:paraId="0000002E">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6</w:t>
            </w:r>
          </w:p>
        </w:tc>
        <w:tc>
          <w:tcPr>
            <w:shd w:fill="ffffff" w:val="clear"/>
            <w:tcMar>
              <w:top w:w="30.0" w:type="dxa"/>
              <w:left w:w="30.0" w:type="dxa"/>
              <w:bottom w:w="30.0" w:type="dxa"/>
              <w:right w:w="30.0" w:type="dxa"/>
            </w:tcMar>
          </w:tcPr>
          <w:p w:rsidR="00000000" w:rsidDel="00000000" w:rsidP="00000000" w:rsidRDefault="00000000" w:rsidRPr="00000000" w14:paraId="0000002F">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30">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31">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032">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33">
      <w:pPr>
        <w:shd w:fill="ffffff" w:val="clear"/>
        <w:spacing w:after="120" w:before="120" w:lineRule="auto"/>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Điều 2.</w:t>
      </w:r>
      <w:r w:rsidDel="00000000" w:rsidR="00000000" w:rsidRPr="00000000">
        <w:rPr>
          <w:rFonts w:ascii="Times New Roman" w:cs="Times New Roman" w:eastAsia="Times New Roman" w:hAnsi="Times New Roman"/>
          <w:color w:val="000000"/>
          <w:sz w:val="24"/>
          <w:szCs w:val="24"/>
          <w:vertAlign w:val="baseline"/>
          <w:rtl w:val="0"/>
        </w:rPr>
        <w:t xml:space="preserve"> Hội đồng có nhiệm vụ xem xét, thẩm định điều kiện và mức trích lập dự phòng giảm giá hàng tồn kho của Công ty, chịu trách nhiệm về kết quả thẩm định và gửi kết quả cho Chủ doanh nghiệp. Hội đồng tự giải thể sau khi hoàn thành nhiệm vụ.</w:t>
      </w:r>
    </w:p>
    <w:p w:rsidR="00000000" w:rsidDel="00000000" w:rsidP="00000000" w:rsidRDefault="00000000" w:rsidRPr="00000000" w14:paraId="00000034">
      <w:pPr>
        <w:shd w:fill="ffffff" w:val="clear"/>
        <w:spacing w:after="120" w:before="120" w:lineRule="auto"/>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Điều 3.</w:t>
      </w:r>
      <w:r w:rsidDel="00000000" w:rsidR="00000000" w:rsidRPr="00000000">
        <w:rPr>
          <w:rFonts w:ascii="Times New Roman" w:cs="Times New Roman" w:eastAsia="Times New Roman" w:hAnsi="Times New Roman"/>
          <w:color w:val="000000"/>
          <w:sz w:val="24"/>
          <w:szCs w:val="24"/>
          <w:vertAlign w:val="baseline"/>
          <w:rtl w:val="0"/>
        </w:rPr>
        <w:t xml:space="preserve"> Chi phí cho hoạt động của hội đồng được lấy từ nguồn thu phí thẩm định theo quy định của pháp luật và Điều lệ công ty. </w:t>
      </w:r>
    </w:p>
    <w:p w:rsidR="00000000" w:rsidDel="00000000" w:rsidP="00000000" w:rsidRDefault="00000000" w:rsidRPr="00000000" w14:paraId="00000035">
      <w:pPr>
        <w:shd w:fill="ffffff" w:val="clear"/>
        <w:spacing w:after="120" w:before="120" w:lineRule="auto"/>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Điều 4.</w:t>
      </w:r>
      <w:r w:rsidDel="00000000" w:rsidR="00000000" w:rsidRPr="00000000">
        <w:rPr>
          <w:rFonts w:ascii="Times New Roman" w:cs="Times New Roman" w:eastAsia="Times New Roman" w:hAnsi="Times New Roman"/>
          <w:color w:val="000000"/>
          <w:sz w:val="24"/>
          <w:szCs w:val="24"/>
          <w:vertAlign w:val="baseline"/>
          <w:rtl w:val="0"/>
        </w:rPr>
        <w:t xml:space="preserve"> Quyết định này có hiệu lực kể từ ngày ký.</w:t>
      </w:r>
    </w:p>
    <w:p w:rsidR="00000000" w:rsidDel="00000000" w:rsidP="00000000" w:rsidRDefault="00000000" w:rsidRPr="00000000" w14:paraId="00000036">
      <w:pPr>
        <w:shd w:fill="ffffff" w:val="clear"/>
        <w:spacing w:after="120" w:before="120" w:lineRule="auto"/>
        <w:jc w:val="lef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Chủ doanh nghiệp và các thành viên hội đồng có tên tại Điều 1 chịu trách nhiệm thi hành Quyết định này./.</w:t>
      </w:r>
    </w:p>
    <w:tbl>
      <w:tblPr>
        <w:tblStyle w:val="Table3"/>
        <w:tblW w:w="9570.0" w:type="dxa"/>
        <w:jc w:val="left"/>
        <w:tblInd w:w="-108.0" w:type="dxa"/>
        <w:tblLayout w:type="fixed"/>
        <w:tblLook w:val="0000"/>
      </w:tblPr>
      <w:tblGrid>
        <w:gridCol w:w="4785"/>
        <w:gridCol w:w="4785"/>
        <w:tblGridChange w:id="0">
          <w:tblGrid>
            <w:gridCol w:w="4785"/>
            <w:gridCol w:w="4785"/>
          </w:tblGrid>
        </w:tblGridChange>
      </w:tblGrid>
      <w:tr>
        <w:trPr>
          <w:cantSplit w:val="0"/>
          <w:tblHeader w:val="0"/>
        </w:trPr>
        <w:tc>
          <w:tcPr>
            <w:vAlign w:val="top"/>
          </w:tcPr>
          <w:p w:rsidR="00000000" w:rsidDel="00000000" w:rsidP="00000000" w:rsidRDefault="00000000" w:rsidRPr="00000000" w14:paraId="00000037">
            <w:pPr>
              <w:spacing w:after="120" w:before="120" w:lineRule="auto"/>
              <w:jc w:val="left"/>
              <w:rPr>
                <w:rFonts w:ascii="Times New Roman" w:cs="Times New Roman" w:eastAsia="Times New Roman" w:hAnsi="Times New Roman"/>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38">
            <w:pPr>
              <w:spacing w:after="120" w:before="120" w:lineRule="auto"/>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Chủ doanh nghiệp</w:t>
            </w:r>
            <w:r w:rsidDel="00000000" w:rsidR="00000000" w:rsidRPr="00000000">
              <w:rPr>
                <w:rtl w:val="0"/>
              </w:rPr>
            </w:r>
          </w:p>
          <w:p w:rsidR="00000000" w:rsidDel="00000000" w:rsidP="00000000" w:rsidRDefault="00000000" w:rsidRPr="00000000" w14:paraId="00000039">
            <w:pPr>
              <w:spacing w:after="120" w:before="120" w:lineRule="auto"/>
              <w:jc w:val="center"/>
              <w:rPr>
                <w:rFonts w:ascii="Times New Roman" w:cs="Times New Roman" w:eastAsia="Times New Roman" w:hAnsi="Times New Roman"/>
                <w:i w:val="0"/>
                <w:iCs w:val="0"/>
                <w:color w:val="0070c0"/>
                <w:sz w:val="24"/>
                <w:szCs w:val="24"/>
                <w:vertAlign w:val="baseline"/>
              </w:rPr>
            </w:pPr>
            <w:r w:rsidDel="00000000" w:rsidR="00000000" w:rsidRPr="00000000">
              <w:rPr>
                <w:rFonts w:ascii="Times New Roman" w:cs="Times New Roman" w:eastAsia="Times New Roman" w:hAnsi="Times New Roman"/>
                <w:i w:val="1"/>
                <w:iCs w:val="1"/>
                <w:color w:val="0070c0"/>
                <w:sz w:val="24"/>
                <w:szCs w:val="24"/>
                <w:vertAlign w:val="baseline"/>
                <w:rtl w:val="0"/>
              </w:rPr>
              <w:t xml:space="preserve">(Ký, ghi rõ họ tên, chức danh và đóng dấu)</w:t>
            </w:r>
            <w:r w:rsidDel="00000000" w:rsidR="00000000" w:rsidRPr="00000000">
              <w:rPr>
                <w:rtl w:val="0"/>
              </w:rPr>
            </w:r>
          </w:p>
        </w:tc>
      </w:tr>
    </w:tbl>
    <w:p w:rsidR="00000000" w:rsidDel="00000000" w:rsidP="00000000" w:rsidRDefault="00000000" w:rsidRPr="00000000" w14:paraId="0000003A">
      <w:pPr>
        <w:shd w:fill="ffffff" w:val="clear"/>
        <w:spacing w:after="120" w:before="120" w:lineRule="auto"/>
        <w:jc w:val="left"/>
        <w:rPr>
          <w:rFonts w:ascii="Times New Roman" w:cs="Times New Roman" w:eastAsia="Times New Roman" w:hAnsi="Times New Roman"/>
          <w:color w:val="000000"/>
          <w:sz w:val="24"/>
          <w:szCs w:val="24"/>
          <w:vertAlign w:val="baseline"/>
        </w:rPr>
      </w:pPr>
      <w:r w:rsidDel="00000000" w:rsidR="00000000" w:rsidRPr="00000000">
        <w:rPr>
          <w:rtl w:val="0"/>
        </w:rPr>
      </w:r>
    </w:p>
    <w:tbl>
      <w:tblPr>
        <w:tblStyle w:val="Table4"/>
        <w:tblW w:w="9414.0" w:type="dxa"/>
        <w:jc w:val="left"/>
        <w:tblInd w:w="-30.0" w:type="dxa"/>
        <w:tblLayout w:type="fixed"/>
        <w:tblLook w:val="0000"/>
      </w:tblPr>
      <w:tblGrid>
        <w:gridCol w:w="9414"/>
        <w:tblGridChange w:id="0">
          <w:tblGrid>
            <w:gridCol w:w="9414"/>
          </w:tblGrid>
        </w:tblGridChange>
      </w:tblGrid>
      <w:tr>
        <w:trPr>
          <w:cantSplit w:val="0"/>
          <w:tblHeader w:val="0"/>
        </w:trPr>
        <w:tc>
          <w:tcPr>
            <w:shd w:fill="ffffff" w:val="clear"/>
            <w:tcMar>
              <w:top w:w="30.0" w:type="dxa"/>
              <w:left w:w="30.0" w:type="dxa"/>
              <w:bottom w:w="30.0" w:type="dxa"/>
              <w:right w:w="30.0" w:type="dxa"/>
            </w:tcMar>
            <w:vAlign w:val="center"/>
          </w:tcPr>
          <w:p w:rsidR="00000000" w:rsidDel="00000000" w:rsidP="00000000" w:rsidRDefault="00000000" w:rsidRPr="00000000" w14:paraId="0000003B">
            <w:pPr>
              <w:spacing w:after="120" w:before="120" w:lineRule="auto"/>
              <w:jc w:val="center"/>
              <w:rPr>
                <w:rFonts w:ascii="Times New Roman" w:cs="Times New Roman" w:eastAsia="Times New Roman" w:hAnsi="Times New Roman"/>
                <w:color w:val="000000"/>
                <w:sz w:val="24"/>
                <w:szCs w:val="24"/>
                <w:vertAlign w:val="baseline"/>
              </w:rPr>
            </w:pPr>
            <w:r w:rsidDel="00000000" w:rsidR="00000000" w:rsidRPr="00000000">
              <w:rPr>
                <w:rtl w:val="0"/>
              </w:rPr>
            </w:r>
          </w:p>
        </w:tc>
      </w:tr>
    </w:tbl>
    <w:p w:rsidR="00000000" w:rsidDel="00000000" w:rsidP="00000000" w:rsidRDefault="00000000" w:rsidRPr="00000000" w14:paraId="0000003C">
      <w:pPr>
        <w:spacing w:after="120" w:before="120" w:lineRule="auto"/>
        <w:jc w:val="both"/>
        <w:rPr>
          <w:rFonts w:ascii="Times New Roman" w:cs="Times New Roman" w:eastAsia="Times New Roman" w:hAnsi="Times New Roman"/>
          <w:sz w:val="24"/>
          <w:szCs w:val="24"/>
          <w:vertAlign w:val="baseline"/>
        </w:rPr>
      </w:pPr>
      <w:r w:rsidDel="00000000" w:rsidR="00000000" w:rsidRPr="00000000">
        <w:rPr>
          <w:rtl w:val="0"/>
        </w:rPr>
      </w:r>
    </w:p>
    <w:sectPr>
      <w:headerReference r:id="rId7" w:type="default"/>
      <w:pgSz w:h="16838" w:w="11906" w:orient="portrait"/>
      <w:pgMar w:bottom="990" w:top="1134" w:left="1418" w:right="1134"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MwxHDi/a4xnTdahwCKGiHlL6Q==">CgMxLjA4AHIhMWl4SHJmWDNJTm04dWtKTGtHb1luMkZuTzdHR1ducGJt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