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spacing w:line="240" w:lineRule="auto"/>
        <w:ind w:left="-720" w:firstLine="0"/>
        <w:jc w:val="center"/>
        <w:rPr>
          <w:rFonts w:ascii="Century Gothic" w:cs="Century Gothic" w:eastAsia="Century Gothic" w:hAnsi="Century Gothic"/>
          <w:b w:val="1"/>
          <w:bCs w:val="1"/>
          <w:color w:val="666666"/>
          <w:sz w:val="38"/>
          <w:szCs w:val="38"/>
        </w:rPr>
      </w:pPr>
      <w:r w:rsidDel="00000000" w:rsidR="00000000" w:rsidRPr="00000000">
        <w:rPr>
          <w:rFonts w:ascii="Century Gothic" w:cs="Century Gothic" w:eastAsia="Century Gothic" w:hAnsi="Century Gothic"/>
          <w:b w:val="1"/>
          <w:bCs w:val="1"/>
          <w:color w:val="666666"/>
          <w:sz w:val="38"/>
          <w:szCs w:val="38"/>
          <w:rtl w:val="0"/>
        </w:rPr>
        <w:t xml:space="preserve">Patient Centered Rules of Engagement </w:t>
      </w:r>
    </w:p>
    <w:p w:rsidR="00000000" w:rsidDel="00000000" w:rsidP="00000000" w:rsidRDefault="00000000" w:rsidRPr="00000000" w14:paraId="00000002">
      <w:pPr>
        <w:pageBreakBefore w:val="0"/>
        <w:widowControl w:val="0"/>
        <w:spacing w:before="20.7080078125" w:line="244.80194091796875" w:lineRule="auto"/>
        <w:ind w:left="-720" w:right="761.123046875" w:firstLine="0"/>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The PP Welcome Package, PP Orientation materials and all tools provided in the IBH-PC  Patient Partner guide reflect the following patient centered rules of engagement. These rules were created by the Patient-Centered Outcomes Research Institute (PCORI), an  organization supported by the Affordable Care Act which funds health care research. These are suggested principles to be guided by when wishing to establish strong partnerships between medical  professionals and patient partners and other stakeholders.   </w:t>
      </w:r>
    </w:p>
    <w:p w:rsidR="00000000" w:rsidDel="00000000" w:rsidP="00000000" w:rsidRDefault="00000000" w:rsidRPr="00000000" w14:paraId="00000003">
      <w:pPr>
        <w:pageBreakBefore w:val="0"/>
        <w:widowControl w:val="0"/>
        <w:spacing w:before="0" w:line="240" w:lineRule="auto"/>
        <w:ind w:left="-720" w:firstLine="0"/>
        <w:rPr>
          <w:rFonts w:ascii="Century Gothic" w:cs="Century Gothic" w:eastAsia="Century Gothic" w:hAnsi="Century Gothic"/>
          <w:b w:val="1"/>
          <w:bCs w:val="1"/>
          <w:sz w:val="27.84000015258789"/>
          <w:szCs w:val="27.84000015258789"/>
        </w:rPr>
      </w:pPr>
      <w:r w:rsidDel="00000000" w:rsidR="00000000" w:rsidRPr="00000000">
        <w:rPr>
          <w:rtl w:val="0"/>
        </w:rPr>
      </w:r>
    </w:p>
    <w:p w:rsidR="00000000" w:rsidDel="00000000" w:rsidP="00000000" w:rsidRDefault="00000000" w:rsidRPr="00000000" w14:paraId="00000004">
      <w:pPr>
        <w:pageBreakBefore w:val="0"/>
        <w:widowControl w:val="0"/>
        <w:spacing w:before="0" w:line="240" w:lineRule="auto"/>
        <w:ind w:left="-720" w:firstLine="0"/>
        <w:rPr>
          <w:rFonts w:ascii="Century Gothic" w:cs="Century Gothic" w:eastAsia="Century Gothic" w:hAnsi="Century Gothic"/>
          <w:b w:val="1"/>
          <w:bCs w:val="1"/>
          <w:sz w:val="27.84000015258789"/>
          <w:szCs w:val="27.84000015258789"/>
        </w:rPr>
      </w:pPr>
      <w:r w:rsidDel="00000000" w:rsidR="00000000" w:rsidRPr="00000000">
        <w:rPr>
          <w:rFonts w:ascii="Century Gothic" w:cs="Century Gothic" w:eastAsia="Century Gothic" w:hAnsi="Century Gothic"/>
          <w:b w:val="1"/>
          <w:bCs w:val="1"/>
          <w:sz w:val="27.84000015258789"/>
          <w:szCs w:val="27.84000015258789"/>
          <w:rtl w:val="0"/>
        </w:rPr>
        <w:t xml:space="preserve">Reciprocal Relationships </w:t>
      </w:r>
    </w:p>
    <w:p w:rsidR="00000000" w:rsidDel="00000000" w:rsidP="00000000" w:rsidRDefault="00000000" w:rsidRPr="00000000" w14:paraId="00000005">
      <w:pPr>
        <w:pageBreakBefore w:val="0"/>
        <w:widowControl w:val="0"/>
        <w:numPr>
          <w:ilvl w:val="0"/>
          <w:numId w:val="1"/>
        </w:numPr>
        <w:spacing w:after="0" w:afterAutospacing="0" w:before="21.107177734375" w:line="240" w:lineRule="auto"/>
        <w:ind w:left="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Include Patient Partners as key personnel </w:t>
      </w:r>
    </w:p>
    <w:p w:rsidR="00000000" w:rsidDel="00000000" w:rsidP="00000000" w:rsidRDefault="00000000" w:rsidRPr="00000000" w14:paraId="00000006">
      <w:pPr>
        <w:pageBreakBefore w:val="0"/>
        <w:widowControl w:val="0"/>
        <w:numPr>
          <w:ilvl w:val="0"/>
          <w:numId w:val="1"/>
        </w:numPr>
        <w:spacing w:before="0" w:beforeAutospacing="0" w:line="240" w:lineRule="auto"/>
        <w:ind w:left="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Define Roles and Decision making collaboratively </w:t>
      </w:r>
    </w:p>
    <w:p w:rsidR="00000000" w:rsidDel="00000000" w:rsidP="00000000" w:rsidRDefault="00000000" w:rsidRPr="00000000" w14:paraId="00000007">
      <w:pPr>
        <w:pageBreakBefore w:val="0"/>
        <w:widowControl w:val="0"/>
        <w:spacing w:before="240" w:line="240" w:lineRule="auto"/>
        <w:ind w:left="-720" w:firstLine="0"/>
        <w:rPr>
          <w:rFonts w:ascii="Century Gothic" w:cs="Century Gothic" w:eastAsia="Century Gothic" w:hAnsi="Century Gothic"/>
          <w:b w:val="1"/>
          <w:bCs w:val="1"/>
          <w:sz w:val="27.84000015258789"/>
          <w:szCs w:val="27.84000015258789"/>
        </w:rPr>
      </w:pPr>
      <w:r w:rsidDel="00000000" w:rsidR="00000000" w:rsidRPr="00000000">
        <w:rPr>
          <w:rFonts w:ascii="Century Gothic" w:cs="Century Gothic" w:eastAsia="Century Gothic" w:hAnsi="Century Gothic"/>
          <w:b w:val="1"/>
          <w:bCs w:val="1"/>
          <w:sz w:val="27.84000015258789"/>
          <w:szCs w:val="27.84000015258789"/>
          <w:rtl w:val="0"/>
        </w:rPr>
        <w:t xml:space="preserve">Partnerships </w:t>
      </w:r>
    </w:p>
    <w:p w:rsidR="00000000" w:rsidDel="00000000" w:rsidP="00000000" w:rsidRDefault="00000000" w:rsidRPr="00000000" w14:paraId="00000008">
      <w:pPr>
        <w:pageBreakBefore w:val="0"/>
        <w:widowControl w:val="0"/>
        <w:numPr>
          <w:ilvl w:val="0"/>
          <w:numId w:val="2"/>
        </w:numPr>
        <w:spacing w:after="0" w:afterAutospacing="0" w:before="20.706787109375" w:line="240" w:lineRule="auto"/>
        <w:ind w:left="0" w:righ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Provide fair compensation</w:t>
      </w:r>
    </w:p>
    <w:p w:rsidR="00000000" w:rsidDel="00000000" w:rsidP="00000000" w:rsidRDefault="00000000" w:rsidRPr="00000000" w14:paraId="00000009">
      <w:pPr>
        <w:pageBreakBefore w:val="0"/>
        <w:widowControl w:val="0"/>
        <w:numPr>
          <w:ilvl w:val="0"/>
          <w:numId w:val="2"/>
        </w:numPr>
        <w:spacing w:after="0" w:afterAutospacing="0" w:before="0" w:beforeAutospacing="0" w:line="240" w:lineRule="auto"/>
        <w:ind w:left="0" w:righ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Make reasonable and thoughtful requests for time </w:t>
      </w:r>
    </w:p>
    <w:p w:rsidR="00000000" w:rsidDel="00000000" w:rsidP="00000000" w:rsidRDefault="00000000" w:rsidRPr="00000000" w14:paraId="0000000A">
      <w:pPr>
        <w:pageBreakBefore w:val="0"/>
        <w:widowControl w:val="0"/>
        <w:numPr>
          <w:ilvl w:val="0"/>
          <w:numId w:val="2"/>
        </w:numPr>
        <w:spacing w:after="0" w:afterAutospacing="0" w:before="0" w:beforeAutospacing="0" w:line="240" w:lineRule="auto"/>
        <w:ind w:left="0" w:righ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Commit to diversity across all activities </w:t>
      </w:r>
    </w:p>
    <w:p w:rsidR="00000000" w:rsidDel="00000000" w:rsidP="00000000" w:rsidRDefault="00000000" w:rsidRPr="00000000" w14:paraId="0000000B">
      <w:pPr>
        <w:pageBreakBefore w:val="0"/>
        <w:widowControl w:val="0"/>
        <w:numPr>
          <w:ilvl w:val="0"/>
          <w:numId w:val="2"/>
        </w:numPr>
        <w:spacing w:before="0" w:beforeAutospacing="0" w:line="240" w:lineRule="auto"/>
        <w:ind w:left="0" w:righ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Commit to cultural competence and humility (the ability of providers and  organizations to effectively deliver health care services that meet the social,  cultural, and linguistic needs of patients.) </w:t>
      </w:r>
    </w:p>
    <w:p w:rsidR="00000000" w:rsidDel="00000000" w:rsidP="00000000" w:rsidRDefault="00000000" w:rsidRPr="00000000" w14:paraId="0000000C">
      <w:pPr>
        <w:pageBreakBefore w:val="0"/>
        <w:widowControl w:val="0"/>
        <w:spacing w:before="240" w:line="240" w:lineRule="auto"/>
        <w:ind w:left="-720" w:right="-720" w:firstLine="0"/>
        <w:rPr>
          <w:rFonts w:ascii="Century Gothic" w:cs="Century Gothic" w:eastAsia="Century Gothic" w:hAnsi="Century Gothic"/>
          <w:b w:val="1"/>
          <w:bCs w:val="1"/>
          <w:sz w:val="27.84000015258789"/>
          <w:szCs w:val="27.84000015258789"/>
        </w:rPr>
      </w:pPr>
      <w:r w:rsidDel="00000000" w:rsidR="00000000" w:rsidRPr="00000000">
        <w:rPr>
          <w:rFonts w:ascii="Century Gothic" w:cs="Century Gothic" w:eastAsia="Century Gothic" w:hAnsi="Century Gothic"/>
          <w:b w:val="1"/>
          <w:bCs w:val="1"/>
          <w:sz w:val="27.84000015258789"/>
          <w:szCs w:val="27.84000015258789"/>
          <w:rtl w:val="0"/>
        </w:rPr>
        <w:t xml:space="preserve">Co-Learning </w:t>
      </w:r>
    </w:p>
    <w:p w:rsidR="00000000" w:rsidDel="00000000" w:rsidP="00000000" w:rsidRDefault="00000000" w:rsidRPr="00000000" w14:paraId="0000000D">
      <w:pPr>
        <w:pageBreakBefore w:val="0"/>
        <w:widowControl w:val="0"/>
        <w:numPr>
          <w:ilvl w:val="0"/>
          <w:numId w:val="4"/>
        </w:numPr>
        <w:spacing w:after="0" w:afterAutospacing="0" w:before="20.7073974609375" w:line="247.90088653564453" w:lineRule="auto"/>
        <w:ind w:left="0" w:right="-720" w:hanging="27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Medical Professionals help patients and home care partners and other stakeholders understand the medical system process </w:t>
      </w:r>
    </w:p>
    <w:p w:rsidR="00000000" w:rsidDel="00000000" w:rsidP="00000000" w:rsidRDefault="00000000" w:rsidRPr="00000000" w14:paraId="0000000E">
      <w:pPr>
        <w:pageBreakBefore w:val="0"/>
        <w:widowControl w:val="0"/>
        <w:numPr>
          <w:ilvl w:val="0"/>
          <w:numId w:val="4"/>
        </w:numPr>
        <w:spacing w:after="0" w:afterAutospacing="0" w:before="0" w:beforeAutospacing="0" w:line="247.90088653564453" w:lineRule="auto"/>
        <w:ind w:left="0" w:right="-720" w:hanging="27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The team embraces learning about patient- centeredness and stakeholder engagement </w:t>
      </w:r>
    </w:p>
    <w:p w:rsidR="00000000" w:rsidDel="00000000" w:rsidP="00000000" w:rsidRDefault="00000000" w:rsidRPr="00000000" w14:paraId="0000000F">
      <w:pPr>
        <w:pageBreakBefore w:val="0"/>
        <w:widowControl w:val="0"/>
        <w:numPr>
          <w:ilvl w:val="0"/>
          <w:numId w:val="4"/>
        </w:numPr>
        <w:spacing w:after="0" w:afterAutospacing="0" w:before="0" w:beforeAutospacing="0" w:line="247.90088653564453" w:lineRule="auto"/>
        <w:ind w:left="0" w:right="-720" w:hanging="27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Patient Partners and Homecare partners help Medical professionals understand the human condition that includes all things that matter to patients and their families and community networks. </w:t>
      </w:r>
    </w:p>
    <w:p w:rsidR="00000000" w:rsidDel="00000000" w:rsidP="00000000" w:rsidRDefault="00000000" w:rsidRPr="00000000" w14:paraId="00000010">
      <w:pPr>
        <w:pageBreakBefore w:val="0"/>
        <w:widowControl w:val="0"/>
        <w:numPr>
          <w:ilvl w:val="0"/>
          <w:numId w:val="4"/>
        </w:numPr>
        <w:spacing w:before="0" w:beforeAutospacing="0" w:line="247.90088653564453" w:lineRule="auto"/>
        <w:ind w:left="0" w:right="-720" w:hanging="27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Patient-centeredness and stakeholder engagement are incorporated into the team’s process </w:t>
      </w:r>
    </w:p>
    <w:p w:rsidR="00000000" w:rsidDel="00000000" w:rsidP="00000000" w:rsidRDefault="00000000" w:rsidRPr="00000000" w14:paraId="00000011">
      <w:pPr>
        <w:pageBreakBefore w:val="0"/>
        <w:widowControl w:val="0"/>
        <w:spacing w:before="240" w:line="240" w:lineRule="auto"/>
        <w:ind w:left="-720" w:right="-720" w:firstLine="0"/>
        <w:rPr>
          <w:rFonts w:ascii="Century Gothic" w:cs="Century Gothic" w:eastAsia="Century Gothic" w:hAnsi="Century Gothic"/>
          <w:b w:val="1"/>
          <w:bCs w:val="1"/>
          <w:sz w:val="27.84000015258789"/>
          <w:szCs w:val="27.84000015258789"/>
        </w:rPr>
      </w:pPr>
      <w:r w:rsidDel="00000000" w:rsidR="00000000" w:rsidRPr="00000000">
        <w:rPr>
          <w:rFonts w:ascii="Century Gothic" w:cs="Century Gothic" w:eastAsia="Century Gothic" w:hAnsi="Century Gothic"/>
          <w:b w:val="1"/>
          <w:bCs w:val="1"/>
          <w:sz w:val="27.84000015258789"/>
          <w:szCs w:val="27.84000015258789"/>
          <w:rtl w:val="0"/>
        </w:rPr>
        <w:t xml:space="preserve">Transparency-Honesty-Trust </w:t>
      </w:r>
    </w:p>
    <w:p w:rsidR="00000000" w:rsidDel="00000000" w:rsidP="00000000" w:rsidRDefault="00000000" w:rsidRPr="00000000" w14:paraId="00000012">
      <w:pPr>
        <w:pageBreakBefore w:val="0"/>
        <w:widowControl w:val="0"/>
        <w:numPr>
          <w:ilvl w:val="0"/>
          <w:numId w:val="3"/>
        </w:numPr>
        <w:spacing w:after="0" w:afterAutospacing="0" w:before="20.706787109375" w:line="240" w:lineRule="auto"/>
        <w:ind w:left="0" w:righ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Commit to Inclusive Decision Making </w:t>
      </w:r>
    </w:p>
    <w:p w:rsidR="00000000" w:rsidDel="00000000" w:rsidP="00000000" w:rsidRDefault="00000000" w:rsidRPr="00000000" w14:paraId="00000013">
      <w:pPr>
        <w:pageBreakBefore w:val="0"/>
        <w:widowControl w:val="0"/>
        <w:numPr>
          <w:ilvl w:val="0"/>
          <w:numId w:val="3"/>
        </w:numPr>
        <w:spacing w:after="0" w:afterAutospacing="0" w:before="0" w:beforeAutospacing="0" w:line="240" w:lineRule="auto"/>
        <w:ind w:left="0" w:righ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Information is readily shared </w:t>
      </w:r>
    </w:p>
    <w:p w:rsidR="00000000" w:rsidDel="00000000" w:rsidP="00000000" w:rsidRDefault="00000000" w:rsidRPr="00000000" w14:paraId="00000014">
      <w:pPr>
        <w:pageBreakBefore w:val="0"/>
        <w:widowControl w:val="0"/>
        <w:numPr>
          <w:ilvl w:val="0"/>
          <w:numId w:val="3"/>
        </w:numPr>
        <w:spacing w:before="0" w:beforeAutospacing="0" w:line="240" w:lineRule="auto"/>
        <w:ind w:left="0" w:righ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Commit to open and honest communication</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