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lineRule="auto"/>
        <w:jc w:val="center"/>
      </w:pPr>
      <w:r>
        <w:rPr>
          <w:rFonts w:ascii="Times New Roman" w:cs="Times New Roman" w:eastAsia="Times New Roman" w:hAnsi="Times New Roman"/>
          <w:b w:val="1"/>
          <w:bCs w:val="1"/>
          <w:sz w:val="26"/>
          <w:szCs w:val="26"/>
        </w:rPr>
        <w:t xml:space="preserve">Phụ lục I</w:t>
      </w:r>
    </w:p>
    <w:p>
      <w:pPr>
        <w:spacing w:after="0" w:before="0" w:line="300" w:lineRule="auto"/>
        <w:jc w:val="center"/>
      </w:pPr>
      <w:r>
        <w:rPr>
          <w:rFonts w:ascii="Times New Roman" w:cs="Times New Roman" w:eastAsia="Times New Roman" w:hAnsi="Times New Roman"/>
          <w:b w:val="1"/>
          <w:bCs w:val="1"/>
          <w:sz w:val="26"/>
          <w:szCs w:val="26"/>
        </w:rPr>
        <w:t xml:space="preserve">ĐẦU TƯ CƠ SỞ HẠ TẦNG, MUA SẮM THIẾT BỊ, VẬT TƯ, HÀNG HÓA, DỊCH VỤ</w:t>
      </w:r>
    </w:p>
    <w:p>
      <w:pPr>
        <w:spacing w:after="0" w:before="0" w:line="300" w:lineRule="auto"/>
        <w:jc w:val="center"/>
      </w:pPr>
      <w:r>
        <w:rPr>
          <w:rFonts w:ascii="Times New Roman" w:cs="Times New Roman" w:eastAsia="Times New Roman" w:hAnsi="Times New Roman"/>
          <w:b w:val="1"/>
          <w:bCs w:val="1"/>
          <w:sz w:val="26"/>
          <w:szCs w:val="26"/>
        </w:rPr>
        <w:t xml:space="preserve">CỦA CHƯƠNG TRÌNH</w:t>
      </w:r>
    </w:p>
    <w:p>
      <w:pPr>
        <w:spacing w:after="0" w:before="0" w:line="300" w:lineRule="auto"/>
        <w:jc w:val="center"/>
      </w:pPr>
      <w:r>
        <w:rPr>
          <w:rFonts w:ascii="Times New Roman" w:cs="Times New Roman" w:eastAsia="Times New Roman" w:hAnsi="Times New Roman"/>
          <w:i w:val="1"/>
          <w:iCs w:val="1"/>
          <w:sz w:val="26"/>
          <w:szCs w:val="26"/>
        </w:rPr>
        <w:t xml:space="preserve">(Ban hành kèm theo Thông tư số 34/2026/TT-BYT ngày 08 tháng 9 năm 2026 của Bộ trưởng Bộ Y tế)</w:t>
      </w:r>
    </w:p>
    <w:p>
      <w:pPr>
        <w:spacing w:after="200" w:before="0" w:line="300" w:lineRule="auto"/>
        <w:jc w:val="center"/>
      </w:pPr>
      <w:r>
        <w:rPr>
          <w:rFonts w:ascii="Times New Roman" w:cs="Times New Roman" w:eastAsia="Times New Roman" w:hAnsi="Times New Roman"/>
          <w:sz w:val="26"/>
          <w:szCs w:val="26"/>
        </w:rPr>
        <w:t xml:space="preserve">__________</w:t>
      </w:r>
    </w:p>
    <w:p>
      <w:pPr>
        <w:keepNext/>
        <w:spacing w:after="80" w:before="140" w:line="300" w:lineRule="auto"/>
        <w:ind w:left="400"/>
      </w:pPr>
      <w:r>
        <w:rPr>
          <w:rFonts w:ascii="Times New Roman" w:cs="Times New Roman" w:eastAsia="Times New Roman" w:hAnsi="Times New Roman"/>
          <w:b w:val="1"/>
          <w:bCs w:val="1"/>
          <w:sz w:val="26"/>
          <w:szCs w:val="26"/>
        </w:rPr>
        <w:t xml:space="preserve">1. Về nguyên tắc thực hiện</w:t>
      </w:r>
    </w:p>
    <w:p>
      <w:pPr>
        <w:spacing w:after="80" w:before="0" w:line="300" w:lineRule="auto"/>
        <w:ind w:left="400"/>
        <w:jc w:val="both"/>
      </w:pPr>
      <w:r>
        <w:rPr>
          <w:rFonts w:ascii="Times New Roman" w:cs="Times New Roman" w:eastAsia="Times New Roman" w:hAnsi="Times New Roman"/>
          <w:sz w:val="26"/>
          <w:szCs w:val="26"/>
        </w:rPr>
        <w:t xml:space="preserve">Việc quản lý và sử dụng vốn đầu tư công gắn với hạch toán kinh tế - xã hội, đánh giá hiệu quả đầu tư thực hiện theo Chỉ thị số 16/CT-TTg ngày 23/4/2026 của Thủ tướng Chính phủ về quản lý và sử dụng vốn đầu tư công gắn với hạch toán kinh tế - xã hội, đánh giá hiệu quả đầu tư; đẩy nhanh tiến độ xây dựng kế hoạch đầu tư công trung hạn giai đoạn 2026 - 2030; Thông tư liên tịch số 11/2025/TTLT- VKSNDTC-TANDTC-BCA-BQP-BTP-BTC-BCT-BXD-BNN&amp;MT-KTNN-TTCP về việc hướng dẫn việc xác định lãng phí để áp dụng trong khởi tố, điều tra, truy tố, xét xử các tội phạm liên quan đến lãng phí theo quy định của Bộ luật Hình sự; Chỉ thị số 04/CT-BXD ngày 28/2/2026 của Bộ Xây dựng về việc tăng cường quản lý đầu tư, xác định chính xác sơ bộ tổng mức đầu tư ngay từ khâu lập chủ trương, tránh gây lãng phí nguồn lực nhà nước; Công văn số 5302/BTC-NSNN ngày 28/04/2026 của Bộ Tài chính về đánh giá hiệu quả kinh tế - xã hội, hiệu quả đầu tư đối với Kế hoạch đầu tư công trung hạn giai đoạn 2026 - 2030 để bảo đảm hiệu quả, tiết kiệm, tránh lãng phí.</w:t>
      </w:r>
    </w:p>
    <w:p>
      <w:pPr>
        <w:keepNext/>
        <w:spacing w:after="80" w:before="140" w:line="300" w:lineRule="auto"/>
        <w:ind w:left="400"/>
      </w:pPr>
      <w:r>
        <w:rPr>
          <w:rFonts w:ascii="Times New Roman" w:cs="Times New Roman" w:eastAsia="Times New Roman" w:hAnsi="Times New Roman"/>
          <w:b w:val="1"/>
          <w:bCs w:val="1"/>
          <w:sz w:val="26"/>
          <w:szCs w:val="26"/>
        </w:rPr>
        <w:t xml:space="preserve">2. Nội dung thực hiện</w:t>
      </w:r>
    </w:p>
    <w:p>
      <w:pPr>
        <w:keepNext/>
        <w:spacing w:after="120" w:before="260" w:line="300" w:lineRule="auto"/>
      </w:pPr>
      <w:r>
        <w:rPr>
          <w:rFonts w:ascii="Times New Roman" w:cs="Times New Roman" w:eastAsia="Times New Roman" w:hAnsi="Times New Roman"/>
          <w:b w:val="1"/>
          <w:bCs w:val="1"/>
          <w:sz w:val="28"/>
          <w:szCs w:val="28"/>
        </w:rPr>
        <w:t xml:space="preserve">2.1. Dự án 1: Nâng cao năng lực mạng lưới y tế cơ sở</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a) Tiểu dự án 1: Đầu tư cơ sở hạ tầng, thiết bị cho y tế cơ sở</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Đầu tư xây mới, nâng cấp, mở rộng và mua sắm thiết bị cho các trạm y tế xã, phường, đặc khu, cơ sở quân dân y do chính quyền địa phương quản lý (ưu tiên đầu tư cho các trạm y tế xã biên giới khu vực vùng sâu, vùng xa, biên giới, hải đảo, vùng đặc biệt khó khăn) đáp ứng yêu cầu theo quy định của Thông tư số 23/2026/TT-BYT của Bộ trưởng Bộ Y tế hướng dẫn về thiết kế Trạm Y tế xã, phường, đặc khu và Thông tư số 22/2026/TT-BYT của Bộ trưởng Bộ Y tế hướng dẫn danh mục máy móc, thiết bị cơ bản phục vụ hoạt động chuyên môn của Trạm Y tế xã, phường, đặc khu.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Ủy ban nhân dân tỉnh, thành phố chỉ đạo, phân công thực hiện.</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b) Tiểu dự án 3: Đổi mới hoạt động, cung ứng dịch vụ tại y tế cơ sở</w:t>
      </w:r>
    </w:p>
    <w:p>
      <w:pPr>
        <w:spacing w:after="80" w:before="0" w:line="300" w:lineRule="auto"/>
        <w:ind w:left="400"/>
        <w:jc w:val="both"/>
      </w:pPr>
      <w:r>
        <w:rPr>
          <w:rFonts w:ascii="Times New Roman" w:cs="Times New Roman" w:eastAsia="Times New Roman" w:hAnsi="Times New Roman"/>
          <w:sz w:val="26"/>
          <w:szCs w:val="26"/>
        </w:rPr>
        <w:t xml:space="preserve">Nội dung 06: Hỗ trợ mạng lưới cô đỡ thôn, bản duy trì hoạt động: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Mua bổ sung vật tư tiêu hao (gói đỡ đẻ sạch, que thử Protein niệu) để cô đỡ thôn, bản thực hiện nhiệm vụ chuyên môn.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Ủy ban nhân dân tỉnh, thành phố chỉ đạo thực hiện.</w:t>
      </w:r>
    </w:p>
    <w:p>
      <w:pPr>
        <w:keepNext/>
        <w:spacing w:after="120" w:before="260" w:line="300" w:lineRule="auto"/>
      </w:pPr>
      <w:r>
        <w:rPr>
          <w:rFonts w:ascii="Times New Roman" w:cs="Times New Roman" w:eastAsia="Times New Roman" w:hAnsi="Times New Roman"/>
          <w:b w:val="1"/>
          <w:bCs w:val="1"/>
          <w:sz w:val="28"/>
          <w:szCs w:val="28"/>
        </w:rPr>
        <w:t xml:space="preserve">2.2. Dự án 2: Nâng cao hiệu quả hệ thống phòng bệnh và nâng cao sức khỏe</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a) Tiểu dự án 1: Đầu tư thiết bị cho hệ thống phòng bệnh và nâng cao sức khỏe tại tuyến tỉnh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Đầu tư mua sắm trang thiết bị cho Trung tâm kiểm soát bệnh tật các tỉnh, thành phố phục vụ giám sát, phòng, chống dịch bệnh, gồm thiết bị định danh vi khuẩn, kháng sinh đồ, sinh học phân tử, phân tích đa tác nhân và các thiết bị cần thiết khác; đầu tư hiện đại hóa hệ thống phòng thử nghiệm phục vụ giám sát chất lượng nước sạch và vệ sinh trường học.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Ủy ban nhân dân tỉnh, thành phố chỉ đạo các đơn vị liên quan tổ chức mua sắm, cấp phát, tiếp nhận và sử dụng hiệu quả.</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b) Tiểu dự án 2: Phòng, chống chủ động dịch bệnh truyền nhiễm nguy hiểm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Hoạt động giám sát trọng điểm các bệnh truyền nhiễm: Tổ chức mua sinh phẩm, hoá chất, vật tư tiêu hao phục vụ xét nghiệm, lấy mẫu.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Hoạt động thí điểm tiêm chủng 04 loại vắc xin: Tổ chức mua sắm vắc xin (sốt xuất huyết, viêm màng não do não mô cầu, thủy đậu, tay-chân-miệng), dây chuyền lạnh, vật tư tiêm chủng.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Hoạt động đánh giá miễn dịch cộng đồng đối với các bệnh ưu tiên có vắc xin phòng (sởi, bạch hầu, ho gà) để chủ động đề xuất các chiến dịch tiêm chủng chủ động phòng chống dịch: Tổ chức mua sinh phẩm, hoá chất, vật tư tiêu hao phục vụ xét nghiệm, lấy mẫu.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Hoạt động phòng, chống HIV/AIDS: Tổ chức mua sắm sinh phẩm xét nghiệm HIV, các xét nghiệm phục vụ theo dõi, điều trị, thuốc kháng HIV, bao cao su, bơm kim tiêm sạch.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Hoạt động phòng, chống sốt rét: Tổ chức mua và cung cấp thuốc điều trị dự phòng cho các đối tượng có nguy cơ cao theo quy định tại Quyết định số 3377/QĐ-BYT ngày 30/8/2023 của Bộ trưởng Bộ Y tế về việc ban hành “Hướng dẫn chẩn đoán và điều trị bệnh sốt rét”; hóa chất, vật tư phục vụ nhiệm vụ giám sát và điều trị dự phòng.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Hoạt động phòng, chống lao: Mua và cung cấp thuốc lao cho người không tham gia bảo hiểm y tế nhằm bảo đảm đủ thuốc điều trị cho bệnh nhân Lao theo nội dung chỉ đạo tại Công điện số 25/CĐ-TTg ngày 25/3/2024 của Thủ tướng Chính phủ về việc tăng cường công tác phòng, chống bệnh lao.</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Hoạt động phòng, chống bệnh viêm gan vi rút: Tổ chức mua sắm sinh phẩm xét nghiệm viêm gan vi rút.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Hoạt động phòng, chống phong: Mua và cung cấp thuốc, vật tư phục vụ điều trị, chăm sóc khuyết tật, điều trị cơ phản ứng đối với nhóm mới mắc, bệnh nhân trong giai đoạn giám sát và nhóm tiếp xúc gần (không thuộc phạm vi chi trả bảo hiểm y tế) theo Quyết định số 4416/QĐ-BYT ngày 06/12/2023 của Bộ trưởng Bộ Y tế về việc ban hành tài liệu chuyên môn “Hướng dẫn Chẩn đoán và điều trị các bệnh Da liễu”.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Viện Vệ sinh dịch tễ Trung ương tổ chức mua sắm, cấp phát vắc xin, dây chuyền lạnh cho các địa phương được chọn là địa bàn triển khai thí điểm; mua sắm sinh phẩm, hóa chất, vật tư tiêu hao để triển khai hoạt động giám sát trọng điểm bệnh truyền nhiễm và hoạt động đánh giá miễn dịch cộng đồng.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Ủy ban nhân dân tỉnh, thành phố chỉ đạo các đơn vị liên quan tổ chức mua sắm, cấp phát, tiếp nhận và sử dụng hiệu quả đối với các nội dung còn lại.</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c) Tiểu dự án 3: Phòng, chống bệnh không lây nhiễm; bệnh tật phổ biến lứa tuổi học đường và bảo đảm dinh dưỡng hợp lý</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Mua sắm, bảo quản, vận chuyển, cấp phát và sử dụng sản phẩm dinh dưỡng, đa vi chất dinh dưỡng/chế phẩm, thực phẩm, trang thiết bị, công cụ, dụng cụ, tài liệu, vật tư, nguyên vật liệu sinh phẩm, hóa chất và các phương tiện phục vụ triển khai các hoạt động dinh dưỡng cho các nhóm đối tượng theo quy định tại điểm d Khoản 2 Điều 34 Luật Phòng bệnh số 114/2025/QH15 (sau đây gọi chung là Luật Phòng bệnh) và điểm b, điểm c khoản 2 Điều 85 Nghị định số 165/2026/NĐ-CP quy định chi tiết và hướng dẫn thi hành một số điều của Luật Phòng bệnh và các quy định hiện hành.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Viện Dinh dưỡng tổ chức mua sắm, cấp phát, tiếp nhận, quản lý, sử dụng cho các hoạt động cấp Trung ương bao gồm: (1) trang thiết bị, công cụ, dụng cụ, tài liệu, vật tư, nguyên vật liệu sinh phẩm, hóa chất và các phương tiện phục vụ triển khai các hoạt động dinh dưỡng cấp Trung ương; (2) các sản phẩm dinh dưỡng, đa vi chất dinh dưỡng/chế phẩm, thực phẩm phục vụ việc xây dựng, triển khai các mô hình can thiệp dinh dưỡng.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Ủy ban nhân dân tỉnh, thành phố chỉ đạo các đơn vị liên quan tổ chức mua sắm, cấp phát, tiếp nhận, quản lý và sử dụng hiệu quả đối với các nội dung nêu trên tại địa phương (ngoài các nội dung do Trung ương thực hiện) theo hướng dẫn chuyên môn của Bộ Y tế.</w:t>
      </w:r>
    </w:p>
    <w:p>
      <w:pPr>
        <w:keepNext/>
        <w:spacing w:after="120" w:before="260" w:line="300" w:lineRule="auto"/>
      </w:pPr>
      <w:r>
        <w:rPr>
          <w:rFonts w:ascii="Times New Roman" w:cs="Times New Roman" w:eastAsia="Times New Roman" w:hAnsi="Times New Roman"/>
          <w:b w:val="1"/>
          <w:bCs w:val="1"/>
          <w:sz w:val="28"/>
          <w:szCs w:val="28"/>
        </w:rPr>
        <w:t xml:space="preserve">2.3. Dự án 3: Dân số và phát triển</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Tiểu dự án 3: Nâng cao chất lượng dân số góp phần nâng cao chất lượng nguồn nhân lực</w:t>
      </w:r>
    </w:p>
    <w:p>
      <w:pPr>
        <w:spacing w:after="80" w:before="0" w:line="300" w:lineRule="auto"/>
        <w:ind w:left="400"/>
        <w:jc w:val="both"/>
      </w:pPr>
      <w:r>
        <w:rPr>
          <w:rFonts w:ascii="Times New Roman" w:cs="Times New Roman" w:eastAsia="Times New Roman" w:hAnsi="Times New Roman"/>
          <w:sz w:val="26"/>
          <w:szCs w:val="26"/>
        </w:rPr>
        <w:t xml:space="preserve">a) Phát triển mạng lưới cung cấp dịch vụ sàng lọc, chẩn đoán, điều trị bệnh tật trước sinh và sơ sinh tại vùng đồng bào dân tộc thiểu số và miền núi.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Mua sắm bổ sung thiết bị y tế phục vụ thực hiện nhiệm vụ chuyên môn về sàng lọc trước sinh và sơ sinh để cung cấp cho bệnh viện đa khoa tỉnh hoặc chuyên khoa sản - nhi của 10 tỉnh: Điện Biên, Cao Bằng, Sơn La, Tuyên Quang, Lai Châu, Lạng Sơn, Phú Thọ, Thái Nguyên, Quảng Ngãi, Gia Lai.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Ủy ban nhân dân tỉnh, thành phố quyết định danh mục thiết bị y tế bổ sung và thực hiện mua sắm thiết bị y tế theo quy định hiện hành. b) Ổn định và phát triển dân số của đồng bào dân tộc thiểu số tại vùng đồng bào dân tộc thiểu số và miền núi, khu vực biên giới; Nâng cao năng lực quản lý dân số vùng đồng bào dân tộc thiểu số và miền núi, khu vực biên giới.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Tổ chức chiến dịch truyền thông lồng ghép cung cấp dịch vụ dân số, kế hoạch hóa gia đình tại các tỉnh vùng đồng bào dân tộc thiểu số và miền núi (Nội dung 01, Tiểu dự án 3, Dự án 3).</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Ủy ban nhân dân tỉnh, thành phố chỉ đạo các đơn vị liên quan tổ chức mua sắm, cấp phát phương tiện tránh thai (dụng cụ tử cung, thuốc tiêm tránh thai, thuốc cấy tránh thai, viên uống tránh thai, bao cao su).</w:t>
      </w:r>
    </w:p>
    <w:p>
      <w:pPr>
        <w:keepNext/>
        <w:spacing w:after="120" w:before="260" w:line="300" w:lineRule="auto"/>
      </w:pPr>
      <w:r>
        <w:rPr>
          <w:rFonts w:ascii="Times New Roman" w:cs="Times New Roman" w:eastAsia="Times New Roman" w:hAnsi="Times New Roman"/>
          <w:b w:val="1"/>
          <w:bCs w:val="1"/>
          <w:sz w:val="28"/>
          <w:szCs w:val="28"/>
        </w:rPr>
        <w:t xml:space="preserve">2.4. Dự án 4: Nâng cao chất lượng chăm sóc xã hội cho người dễ bị tổn thương</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a) Tiểu dự án 1: Nâng cao năng lực mạng lưới chăm sóc xã hội toàn diện</w:t>
      </w:r>
    </w:p>
    <w:p>
      <w:pPr>
        <w:spacing w:after="80" w:before="0" w:line="300" w:lineRule="auto"/>
        <w:ind w:left="400"/>
        <w:jc w:val="both"/>
      </w:pPr>
      <w:r>
        <w:rPr>
          <w:rFonts w:ascii="Times New Roman" w:cs="Times New Roman" w:eastAsia="Times New Roman" w:hAnsi="Times New Roman"/>
          <w:sz w:val="26"/>
          <w:szCs w:val="26"/>
        </w:rPr>
        <w:t xml:space="preserve">(1) Nội dung 01: Đầu tư cơ sở vật chất, thiết bị đối với một số cơ sở chăm sóc người cao tuổi, cơ sở bảo trợ xã hội, cơ sở bảo trợ xã hội tổng hợp và trung tâm công tác xã hội.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Đầu tư nâng cấp, sửa chữa, cải tạo cơ sở vật chất và mua sắm tài sản, trang thiết bị cho tối thiểu 20 cơ sở chăm sóc người cao tuổi, cơ sở bảo trợ xã hội thực hiện nhiệm vụ chăm sóc người cao tuổi, chăm sóc và phục hồi chức năng cho người tâm thần, chăm sóc trẻ em tự kỷ, nạn nhân chất độc da cam/dioxin, người nhiễm HIV/AIDS, người khuyết tật; cơ sở bảo trợ xã hội tổng hợp và trung tâm công tác xã hội (sau đây gọi chung là cơ sở).</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Đầu tư xây mới, mở rộng cơ sở vật chất và mua sắm tài sản, trang thiết bị cho tối thiểu 20 cơ sở chăm sóc người cao tuổi, cơ sở bảo trợ xã hội (gồm: cơ sở khu vực, cơ sở chính, cơ sở chi nhánh, phân khu thực hiện nhiệm vụ chăm sóc người cao tuổi, chăm sóc và phục hồi chức năng cho người tâm thần; cơ sở bảo trợ xã hội tổng hợp và trung tâm công tác xã hội).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thực hiện xây mới, mở rộng, nâng cấp, sửa chữa, cải tạo cơ sở vật chất cho cơ sở chăm sóc người cao tuổi,  cơ sở bảo trợ xã hội và mua sắm tài sản, trang thiết bị nhằm bảo đảm thực hiện theo quy định tại Nghị định số 103/2017/NĐ-CP quy định về thành lập, tổ chức, hoạt động, giải thể và quản lý các cơ sở trợ giúp xã hội; Thông tư số 33/2017/TT-BLĐTBXH hướng dẫn về cơ cấu tổ chức, định mức nhân viên và quy trình, tiêu chuẩn trợ giúp xã hội tại cơ sở trợ giúp xã hội. Ưu tiên hỗ trợ mua sắm thiết bị vận chuyển đối tượng, sơ cấp cứu, sinh hoạt và phục hồi chức năng cho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ương: Các Trung tâm thuộc Bộ Y tế: Trung tâm Phục hồi chức năng người khuyết tật Thụy An; Trung tâm Điều dưỡng, Phục hồi chức năng - Trợ giúp trẻ em và Hỗ trợ người khuyết tật; Trung tâm Điều dưỡng Phục hồi chức năng tâm thần Việt Trì.</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Địa phương: Ủy ban nhân dân tỉnh, thành phố chỉ đạo thực hiện. (2) Nội dung 02: Thực hiện chuyển đổi số, ứng dụng trí tuệ nhân tạo (AI) và phát triển cơ sở dữ liệu trong lĩnh vực chăm sóc xã hội cho người dễ bị tổn thương nhằm mở rộng phạm vi đối tượng và hiệu quả sử dụng dịch vụ chăm sóc xã hội, chăm sóc sức khỏe và phục hồi chức năng.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Đầu tư cơ sở hạ tầng công nghệ thông tin, cơ sở dữ liệu lĩnh vực bảo trợ xã hội, chăm sóc xã hội tại tuyến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Bộ Y tế (Cục Bảo trợ xã hội chủ trì). (3) Nội dung 03: Triển khai thí điểm mô hình chăm sóc bán trú (tại trung tâm công tác xã hội, cơ sở trợ giúp xã hội) nhằm hỗ trợ chăm sóc người khuyết tật nặng, người rối nhiễu tâm trí, trầm cảm, tự kỷ tại nhà.</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Hỗ trợ sửa chữa, bảo dưỡng cơ sở vật chất, thiết bị của mô hình chăm sóc bán trú để thực hiện các hoạt động của mô hình gồm: can thiệp, trị liệu, tham vấn, tư vấn kết hợp với điều trị y tế, chăm sóc sức khỏe, chăm sóc dinh dưỡng, phục hồi chức năng và hỗ trợ hòa nhập.</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ương: Các Trung tâm thuộc Bộ Y tế: Trung tâm Phục hồi chức năng người khuyết tật Thụy An; Trung tâm Điều dưỡng, Phục hồi chức năng - Trợ giúp trẻ em và Hỗ trợ người khuyết tật; Trung tâm Điều dưỡng Phục hồi chức năng tâm thần Việt Trì.</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Ủy ban nhân dân tỉnh, thành phố chỉ đạo cơ quan, đơn vị liên quan thực hiện.</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b) Tiểu dự án  2: Bảo vệ, chăm sóc phát triển cho trẻ em có hoàn cảnh đặc biệt; trẻ em là nạn nhân, bị ảnh  hưởng bởi thiên tai, thảm họa, trẻ em bị xâm hại cần được hỗ trợ khẩn cấp.</w:t>
      </w:r>
    </w:p>
    <w:p>
      <w:pPr>
        <w:spacing w:after="80" w:before="0" w:line="300" w:lineRule="auto"/>
        <w:ind w:left="400"/>
        <w:jc w:val="both"/>
      </w:pPr>
      <w:r>
        <w:rPr>
          <w:rFonts w:ascii="Times New Roman" w:cs="Times New Roman" w:eastAsia="Times New Roman" w:hAnsi="Times New Roman"/>
          <w:sz w:val="26"/>
          <w:szCs w:val="26"/>
        </w:rPr>
        <w:t xml:space="preserve">Nội dung 01: Hỗ trợ thực hiện mô hình bảo vệ trẻ em chuyên biệt, tích hợp (tập trung cho nhóm trẻ em bị bạo lực, xâm  hại tình dục)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Mua sắm các trang thiết bị (theo hướng dẫn của Bộ Y tế) phục vụ việc cung cấp dịch vụ cho trẻ em tại mô hình.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Sở Y tế các tỉnh, thành phố thực hiện mô hình: Đà Nẵng, Phú Thọ, An Giang, Thái Nguyên, Nghệ An, Quảng Trị, Lâm Đồng, Đồng Tháp, Bắc Ninh, Vĩnh Long tổ chức mua sắm trang thiết bị theo quy định.</w:t>
      </w:r>
    </w:p>
    <w:sectPr>
      <w:footerReference w:type="default" r:id="rId7"/>
      <w:pgSz w:w="11906" w:h="16838" w:orient="portrait"/>
      <w:pgMar w:top="1134" w:right="1134" w:bottom="1134" w:left="1701"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jc w:val="center"/>
    </w:pPr>
    <w:r>
      <w:rPr>
        <w:rFonts w:ascii="Times New Roman" w:cs="Times New Roman" w:eastAsia="Times New Roman" w:hAnsi="Times New Roman"/>
        <w:color w:val="7F7F7F"/>
        <w:sz w:val="16"/>
        <w:szCs w:val="16"/>
      </w:rPr>
      <w:t xml:space="preserve">Phụ lục I – Thông tư 34/2026/TT-BYT · Bản định dạng lại: Phòng khám Đa khoa Olympia – olympiamedic.com · Trang </w:t>
    </w:r>
    <w:r>
      <w:rPr>
        <w:rFonts w:ascii="Times New Roman" w:cs="Times New Roman" w:eastAsia="Times New Roman" w:hAnsi="Times New Roman"/>
        <w:color w:val="7F7F7F"/>
        <w:sz w:val="16"/>
        <w:szCs w:val="16"/>
      </w:rPr>
      <w:fldChar w:fldCharType="begin"/>
      <w:instrText xml:space="preserve">PAGE</w:instrText>
      <w:fldChar w:fldCharType="separate"/>
      <w:fldChar w:fldCharType="end"/>
    </w:r>
    <w:r>
      <w:rPr>
        <w:rFonts w:ascii="Times New Roman" w:cs="Times New Roman" w:eastAsia="Times New Roman" w:hAnsi="Times New Roman"/>
        <w:color w:val="7F7F7F"/>
        <w:sz w:val="16"/>
        <w:szCs w:val="16"/>
      </w:rPr>
      <w:t xml:space="preserve">/</w:t>
    </w:r>
    <w:r>
      <w:rPr>
        <w:rFonts w:ascii="Times New Roman" w:cs="Times New Roman" w:eastAsia="Times New Roman" w:hAnsi="Times New Roman"/>
        <w:color w:val="7F7F7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4"/>
      </w:pPr>
    </w:lvl>
    <w:lvl w:ilvl="1" w15:tentative="1">
      <w:start w:val="1"/>
      <w:numFmt w:val="bullet"/>
      <w:lvlText w:val="+"/>
      <w:lvlJc w:val="left"/>
      <w:pPr>
        <w:ind w:left="1134" w:hanging="28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 I Thông tư 34/2026/TT-BYT</dc:title>
  <dc:creator>Phòng khám Đa khoa Olympia</dc:creator>
  <cp:lastModifiedBy>Un-named</cp:lastModifiedBy>
  <cp:revision>1</cp:revision>
  <dcterms:created xsi:type="dcterms:W3CDTF">2026-09-26T09:33:09.036Z</dcterms:created>
  <dcterms:modified xsi:type="dcterms:W3CDTF">2026-09-26T09:33:09.036Z</dcterms:modified>
</cp:coreProperties>
</file>

<file path=docProps/custom.xml><?xml version="1.0" encoding="utf-8"?>
<Properties xmlns="http://schemas.openxmlformats.org/officeDocument/2006/custom-properties" xmlns:vt="http://schemas.openxmlformats.org/officeDocument/2006/docPropsVTypes"/>
</file>