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400.0" w:type="dxa"/>
        <w:jc w:val="left"/>
        <w:tblInd w:w="-10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85"/>
        <w:gridCol w:w="2415"/>
        <w:gridCol w:w="480"/>
        <w:gridCol w:w="555"/>
        <w:gridCol w:w="255"/>
        <w:gridCol w:w="1635"/>
        <w:gridCol w:w="2685"/>
        <w:gridCol w:w="105"/>
        <w:gridCol w:w="615"/>
        <w:gridCol w:w="1170"/>
        <w:tblGridChange w:id="0">
          <w:tblGrid>
            <w:gridCol w:w="1485"/>
            <w:gridCol w:w="2415"/>
            <w:gridCol w:w="480"/>
            <w:gridCol w:w="555"/>
            <w:gridCol w:w="255"/>
            <w:gridCol w:w="1635"/>
            <w:gridCol w:w="2685"/>
            <w:gridCol w:w="105"/>
            <w:gridCol w:w="615"/>
            <w:gridCol w:w="117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Abel" w:cs="Abel" w:eastAsia="Abel" w:hAnsi="Abel"/>
                <w:sz w:val="72"/>
                <w:szCs w:val="72"/>
              </w:rPr>
            </w:pPr>
            <w:r w:rsidDel="00000000" w:rsidR="00000000" w:rsidRPr="00000000">
              <w:rPr>
                <w:rFonts w:ascii="Abel" w:cs="Abel" w:eastAsia="Abel" w:hAnsi="Abel"/>
                <w:sz w:val="72"/>
                <w:szCs w:val="72"/>
                <w:rtl w:val="1"/>
              </w:rPr>
              <w:t xml:space="preserve">الاسم</w:t>
            </w:r>
            <w:r w:rsidDel="00000000" w:rsidR="00000000" w:rsidRPr="00000000">
              <w:rPr>
                <w:rFonts w:ascii="Abel" w:cs="Abel" w:eastAsia="Abel" w:hAnsi="Abel"/>
                <w:sz w:val="72"/>
                <w:szCs w:val="72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sz w:val="72"/>
                <w:szCs w:val="72"/>
                <w:rtl w:val="1"/>
              </w:rPr>
              <w:t xml:space="preserve">واللقب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shd w:fill="45818e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left"/>
              <w:rPr>
                <w:rFonts w:ascii="Abel" w:cs="Abel" w:eastAsia="Abel" w:hAnsi="Abe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sz w:val="28"/>
                <w:szCs w:val="28"/>
                <w:rtl w:val="0"/>
              </w:rPr>
              <w:t xml:space="preserve">              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علاقات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عامة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   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.882812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shd w:fill="45818e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.726562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20">
            <w:pPr>
              <w:bidi w:val="1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XXXXXXXXXXX          your.name@gmail.com            linkedin.com/in/your.profile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العنوان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بالكامل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0</wp:posOffset>
                  </wp:positionV>
                  <wp:extent cx="200660" cy="200660"/>
                  <wp:effectExtent b="0" l="0" r="0" t="0"/>
                  <wp:wrapNone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0</wp:posOffset>
                  </wp:positionV>
                  <wp:extent cx="200025" cy="200025"/>
                  <wp:effectExtent b="0" l="0" r="0" t="0"/>
                  <wp:wrapNone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0</wp:posOffset>
                  </wp:positionV>
                  <wp:extent cx="200660" cy="200660"/>
                  <wp:effectExtent b="0" l="0" r="0" t="0"/>
                  <wp:wrapNone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4314825</wp:posOffset>
                  </wp:positionH>
                  <wp:positionV relativeFrom="paragraph">
                    <wp:posOffset>0</wp:posOffset>
                  </wp:positionV>
                  <wp:extent cx="200025" cy="209550"/>
                  <wp:effectExtent b="0" l="0" r="0" t="0"/>
                  <wp:wrapNone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9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         </w:t>
            </w:r>
          </w:p>
        </w:tc>
      </w:tr>
      <w:tr>
        <w:trPr>
          <w:cantSplit w:val="0"/>
          <w:trHeight w:val="125.99999999999993" w:hRule="atLeast"/>
          <w:tblHeader w:val="0"/>
        </w:trPr>
        <w:tc>
          <w:tcPr>
            <w:gridSpan w:val="2"/>
            <w:shd w:fill="45818e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Abel" w:cs="Abel" w:eastAsia="Abel" w:hAnsi="Abe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5818e" w:val="clear"/>
          </w:tcPr>
          <w:p w:rsidR="00000000" w:rsidDel="00000000" w:rsidP="00000000" w:rsidRDefault="00000000" w:rsidRPr="00000000" w14:paraId="00000043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الخبرة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العملية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.726562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bidi w:val="1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0.375488281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Open Sans" w:cs="Open Sans" w:eastAsia="Open Sans" w:hAnsi="Open Sans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أخصائي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علاقات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بخبرة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تزيد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10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سنوات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السمعة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المؤسسية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والتواصل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الإعلامي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وتنظيم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الحملات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والفعاليات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الكبرى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متخصصة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وضع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العلاقات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عززت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ثقة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العملاء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ورفعت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التفاعل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بنسبة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60%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مؤسسات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محلية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ودولية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434343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sz w:val="24"/>
                <w:szCs w:val="24"/>
                <w:rtl w:val="1"/>
              </w:rPr>
              <w:t xml:space="preserve">لدي</w:t>
            </w:r>
            <w:r w:rsidDel="00000000" w:rsidR="00000000" w:rsidRPr="00000000">
              <w:rPr>
                <w:color w:val="434343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sz w:val="24"/>
                <w:szCs w:val="24"/>
                <w:rtl w:val="1"/>
              </w:rPr>
              <w:t xml:space="preserve">خبرة</w:t>
            </w:r>
            <w:r w:rsidDel="00000000" w:rsidR="00000000" w:rsidRPr="00000000">
              <w:rPr>
                <w:color w:val="434343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sz w:val="24"/>
                <w:szCs w:val="24"/>
                <w:rtl w:val="1"/>
              </w:rPr>
              <w:t xml:space="preserve">قوية</w:t>
            </w:r>
            <w:r w:rsidDel="00000000" w:rsidR="00000000" w:rsidRPr="00000000">
              <w:rPr>
                <w:color w:val="434343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الأزمات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وبناء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شراكات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طويلة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الأمد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وسائل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الإعلام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58">
            <w:pPr>
              <w:bidi w:val="1"/>
              <w:spacing w:after="240" w:before="0" w:line="276" w:lineRule="auto"/>
              <w:ind w:left="0" w:firstLine="0"/>
              <w:rPr>
                <w:b w:val="1"/>
                <w:color w:val="45818e"/>
              </w:rPr>
            </w:pPr>
            <w:r w:rsidDel="00000000" w:rsidR="00000000" w:rsidRPr="00000000">
              <w:rPr>
                <w:b w:val="1"/>
                <w:color w:val="45818e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علاقات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عامة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شركة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الاتصالات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السعودية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45818e"/>
                <w:rtl w:val="0"/>
              </w:rPr>
              <w:t xml:space="preserve">STC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) –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الرياض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(2018 –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حتى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الآن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4"/>
              </w:numPr>
              <w:bidi w:val="1"/>
              <w:spacing w:after="0" w:before="0" w:line="276" w:lineRule="auto"/>
              <w:ind w:left="566.9291338582675" w:hanging="360"/>
              <w:rPr>
                <w:rFonts w:ascii="Open Sans" w:cs="Open Sans" w:eastAsia="Open Sans" w:hAnsi="Open Sans"/>
                <w:color w:val="434343"/>
              </w:rPr>
            </w:pPr>
            <w:r w:rsidDel="00000000" w:rsidR="00000000" w:rsidRPr="00000000">
              <w:rPr>
                <w:color w:val="434343"/>
                <w:rtl w:val="1"/>
              </w:rPr>
              <w:t xml:space="preserve">قيادة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فريق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مكون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من</w:t>
            </w:r>
            <w:r w:rsidDel="00000000" w:rsidR="00000000" w:rsidRPr="00000000">
              <w:rPr>
                <w:color w:val="434343"/>
                <w:rtl w:val="1"/>
              </w:rPr>
              <w:t xml:space="preserve"> 12 </w:t>
            </w:r>
            <w:r w:rsidDel="00000000" w:rsidR="00000000" w:rsidRPr="00000000">
              <w:rPr>
                <w:color w:val="434343"/>
                <w:rtl w:val="1"/>
              </w:rPr>
              <w:t xml:space="preserve">موظف</w:t>
            </w:r>
            <w:r w:rsidDel="00000000" w:rsidR="00000000" w:rsidRPr="00000000">
              <w:rPr>
                <w:color w:val="434343"/>
                <w:rtl w:val="1"/>
              </w:rPr>
              <w:t xml:space="preserve">ً</w:t>
            </w:r>
            <w:r w:rsidDel="00000000" w:rsidR="00000000" w:rsidRPr="00000000">
              <w:rPr>
                <w:color w:val="434343"/>
                <w:rtl w:val="1"/>
              </w:rPr>
              <w:t xml:space="preserve">ا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في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إدارة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الحملات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الإعلامية</w:t>
            </w:r>
            <w:r w:rsidDel="00000000" w:rsidR="00000000" w:rsidRPr="00000000">
              <w:rPr>
                <w:color w:val="434343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4"/>
              </w:numPr>
              <w:bidi w:val="1"/>
              <w:spacing w:after="0" w:before="0" w:line="276" w:lineRule="auto"/>
              <w:ind w:left="566.9291338582675" w:hanging="360"/>
              <w:rPr>
                <w:rFonts w:ascii="Open Sans" w:cs="Open Sans" w:eastAsia="Open Sans" w:hAnsi="Open Sans"/>
                <w:color w:val="434343"/>
              </w:rPr>
            </w:pPr>
            <w:r w:rsidDel="00000000" w:rsidR="00000000" w:rsidRPr="00000000">
              <w:rPr>
                <w:color w:val="434343"/>
                <w:rtl w:val="1"/>
              </w:rPr>
              <w:t xml:space="preserve">تطوير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وتنفيذ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استراتيجية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علاقات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عامة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رفعت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رضا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العملاء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بنسبة</w:t>
            </w:r>
            <w:r w:rsidDel="00000000" w:rsidR="00000000" w:rsidRPr="00000000">
              <w:rPr>
                <w:color w:val="434343"/>
                <w:rtl w:val="1"/>
              </w:rPr>
              <w:t xml:space="preserve"> 45%.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bidi w:val="1"/>
              <w:spacing w:after="0" w:before="0" w:line="276" w:lineRule="auto"/>
              <w:ind w:left="566.9291338582675" w:hanging="360"/>
              <w:rPr>
                <w:rFonts w:ascii="Open Sans" w:cs="Open Sans" w:eastAsia="Open Sans" w:hAnsi="Open Sans"/>
                <w:color w:val="434343"/>
              </w:rPr>
            </w:pPr>
            <w:r w:rsidDel="00000000" w:rsidR="00000000" w:rsidRPr="00000000">
              <w:rPr>
                <w:color w:val="434343"/>
                <w:rtl w:val="1"/>
              </w:rPr>
              <w:t xml:space="preserve">الإشراف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على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أكثر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من</w:t>
            </w:r>
            <w:r w:rsidDel="00000000" w:rsidR="00000000" w:rsidRPr="00000000">
              <w:rPr>
                <w:color w:val="434343"/>
                <w:rtl w:val="1"/>
              </w:rPr>
              <w:t xml:space="preserve"> 30 </w:t>
            </w:r>
            <w:r w:rsidDel="00000000" w:rsidR="00000000" w:rsidRPr="00000000">
              <w:rPr>
                <w:color w:val="434343"/>
                <w:rtl w:val="1"/>
              </w:rPr>
              <w:t xml:space="preserve">فعالية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محلية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وإقليمية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ناجحة</w:t>
            </w:r>
            <w:r w:rsidDel="00000000" w:rsidR="00000000" w:rsidRPr="00000000">
              <w:rPr>
                <w:color w:val="434343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4"/>
              </w:numPr>
              <w:bidi w:val="1"/>
              <w:spacing w:after="0" w:before="0" w:line="276" w:lineRule="auto"/>
              <w:ind w:left="566.9291338582675" w:hanging="360"/>
              <w:rPr>
                <w:rFonts w:ascii="Open Sans" w:cs="Open Sans" w:eastAsia="Open Sans" w:hAnsi="Open Sans"/>
                <w:color w:val="434343"/>
              </w:rPr>
            </w:pPr>
            <w:r w:rsidDel="00000000" w:rsidR="00000000" w:rsidRPr="00000000">
              <w:rPr>
                <w:color w:val="434343"/>
                <w:rtl w:val="1"/>
              </w:rPr>
              <w:t xml:space="preserve">إدارة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الأزمات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الإعلامية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والتواصل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مع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وسائل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الإعلام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أثناء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الأحداث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الحساسة</w:t>
            </w:r>
            <w:r w:rsidDel="00000000" w:rsidR="00000000" w:rsidRPr="00000000">
              <w:rPr>
                <w:color w:val="434343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spacing w:after="240" w:before="200" w:line="276" w:lineRule="auto"/>
              <w:ind w:left="0" w:firstLine="0"/>
              <w:rPr>
                <w:b w:val="1"/>
                <w:color w:val="45818e"/>
              </w:rPr>
            </w:pPr>
            <w:r w:rsidDel="00000000" w:rsidR="00000000" w:rsidRPr="00000000">
              <w:rPr>
                <w:b w:val="1"/>
                <w:color w:val="45818e"/>
                <w:rtl w:val="1"/>
              </w:rPr>
              <w:t xml:space="preserve">أخصائي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علاقات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عامة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مجموعة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سابك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الرياض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(2013 – 2018)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566.9291338582675" w:right="0" w:hanging="360"/>
              <w:jc w:val="left"/>
              <w:rPr>
                <w:rFonts w:ascii="Open Sans" w:cs="Open Sans" w:eastAsia="Open Sans" w:hAnsi="Open Sans"/>
                <w:color w:val="434343"/>
              </w:rPr>
            </w:pPr>
            <w:r w:rsidDel="00000000" w:rsidR="00000000" w:rsidRPr="00000000">
              <w:rPr>
                <w:color w:val="434343"/>
                <w:rtl w:val="1"/>
              </w:rPr>
              <w:t xml:space="preserve">إعداد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بيانات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صحفية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وحملات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إعلامية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غطت</w:t>
            </w:r>
            <w:r w:rsidDel="00000000" w:rsidR="00000000" w:rsidRPr="00000000">
              <w:rPr>
                <w:color w:val="434343"/>
                <w:rtl w:val="1"/>
              </w:rPr>
              <w:t xml:space="preserve"> 15 </w:t>
            </w:r>
            <w:r w:rsidDel="00000000" w:rsidR="00000000" w:rsidRPr="00000000">
              <w:rPr>
                <w:color w:val="434343"/>
                <w:rtl w:val="1"/>
              </w:rPr>
              <w:t xml:space="preserve">سوق</w:t>
            </w:r>
            <w:r w:rsidDel="00000000" w:rsidR="00000000" w:rsidRPr="00000000">
              <w:rPr>
                <w:color w:val="434343"/>
                <w:rtl w:val="1"/>
              </w:rPr>
              <w:t xml:space="preserve">ً</w:t>
            </w:r>
            <w:r w:rsidDel="00000000" w:rsidR="00000000" w:rsidRPr="00000000">
              <w:rPr>
                <w:color w:val="434343"/>
                <w:rtl w:val="1"/>
              </w:rPr>
              <w:t xml:space="preserve">ا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محلي</w:t>
            </w:r>
            <w:r w:rsidDel="00000000" w:rsidR="00000000" w:rsidRPr="00000000">
              <w:rPr>
                <w:color w:val="434343"/>
                <w:rtl w:val="1"/>
              </w:rPr>
              <w:t xml:space="preserve">ً</w:t>
            </w:r>
            <w:r w:rsidDel="00000000" w:rsidR="00000000" w:rsidRPr="00000000">
              <w:rPr>
                <w:color w:val="434343"/>
                <w:rtl w:val="1"/>
              </w:rPr>
              <w:t xml:space="preserve">ا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ودولي</w:t>
            </w:r>
            <w:r w:rsidDel="00000000" w:rsidR="00000000" w:rsidRPr="00000000">
              <w:rPr>
                <w:color w:val="434343"/>
                <w:rtl w:val="1"/>
              </w:rPr>
              <w:t xml:space="preserve">ً</w:t>
            </w:r>
            <w:r w:rsidDel="00000000" w:rsidR="00000000" w:rsidRPr="00000000">
              <w:rPr>
                <w:color w:val="434343"/>
                <w:rtl w:val="1"/>
              </w:rPr>
              <w:t xml:space="preserve">ا</w:t>
            </w:r>
            <w:r w:rsidDel="00000000" w:rsidR="00000000" w:rsidRPr="00000000">
              <w:rPr>
                <w:color w:val="434343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566.9291338582675" w:right="0" w:hanging="360"/>
              <w:jc w:val="left"/>
              <w:rPr>
                <w:rFonts w:ascii="Open Sans" w:cs="Open Sans" w:eastAsia="Open Sans" w:hAnsi="Open Sans"/>
                <w:color w:val="434343"/>
              </w:rPr>
            </w:pPr>
            <w:r w:rsidDel="00000000" w:rsidR="00000000" w:rsidRPr="00000000">
              <w:rPr>
                <w:color w:val="434343"/>
                <w:rtl w:val="1"/>
              </w:rPr>
              <w:t xml:space="preserve">المساهمة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في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رفع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نسبة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التفاعل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الرقمي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للشركة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بنسبة</w:t>
            </w:r>
            <w:r w:rsidDel="00000000" w:rsidR="00000000" w:rsidRPr="00000000">
              <w:rPr>
                <w:color w:val="434343"/>
                <w:rtl w:val="1"/>
              </w:rPr>
              <w:t xml:space="preserve"> 55%.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566.9291338582675" w:right="0" w:hanging="360"/>
              <w:jc w:val="left"/>
              <w:rPr>
                <w:rFonts w:ascii="Open Sans" w:cs="Open Sans" w:eastAsia="Open Sans" w:hAnsi="Open Sans"/>
                <w:color w:val="434343"/>
              </w:rPr>
            </w:pPr>
            <w:r w:rsidDel="00000000" w:rsidR="00000000" w:rsidRPr="00000000">
              <w:rPr>
                <w:color w:val="434343"/>
                <w:rtl w:val="1"/>
              </w:rPr>
              <w:t xml:space="preserve">بناء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شبكة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علاقات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مع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أكثر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من</w:t>
            </w:r>
            <w:r w:rsidDel="00000000" w:rsidR="00000000" w:rsidRPr="00000000">
              <w:rPr>
                <w:color w:val="434343"/>
                <w:rtl w:val="1"/>
              </w:rPr>
              <w:t xml:space="preserve"> 100 </w:t>
            </w:r>
            <w:r w:rsidDel="00000000" w:rsidR="00000000" w:rsidRPr="00000000">
              <w:rPr>
                <w:color w:val="434343"/>
                <w:rtl w:val="1"/>
              </w:rPr>
              <w:t xml:space="preserve">وسيلة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إعلامية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محلية</w:t>
            </w:r>
            <w:r w:rsidDel="00000000" w:rsidR="00000000" w:rsidRPr="00000000">
              <w:rPr>
                <w:color w:val="434343"/>
                <w:rtl w:val="1"/>
              </w:rPr>
              <w:t xml:space="preserve"> </w:t>
            </w:r>
            <w:r w:rsidDel="00000000" w:rsidR="00000000" w:rsidRPr="00000000">
              <w:rPr>
                <w:color w:val="434343"/>
                <w:rtl w:val="1"/>
              </w:rPr>
              <w:t xml:space="preserve">وعالمية</w:t>
            </w:r>
            <w:r w:rsidDel="00000000" w:rsidR="00000000" w:rsidRPr="00000000">
              <w:rPr>
                <w:color w:val="434343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.39999999999998" w:hRule="atLeast"/>
          <w:tblHeader w:val="0"/>
        </w:trPr>
        <w:tc>
          <w:tcPr>
            <w:gridSpan w:val="2"/>
            <w:shd w:fill="76a5af" w:val="clear"/>
          </w:tcPr>
          <w:p w:rsidR="00000000" w:rsidDel="00000000" w:rsidP="00000000" w:rsidRDefault="00000000" w:rsidRPr="00000000" w14:paraId="00000065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9">
            <w:pPr>
              <w:bidi w:val="1"/>
              <w:rPr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جامعة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الملك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سعود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color w:val="262626"/>
                <w:sz w:val="24"/>
                <w:szCs w:val="24"/>
                <w:rtl w:val="1"/>
              </w:rPr>
              <w:t xml:space="preserve">الرياض</w:t>
            </w:r>
          </w:p>
          <w:p w:rsidR="00000000" w:rsidDel="00000000" w:rsidP="00000000" w:rsidRDefault="00000000" w:rsidRPr="00000000" w14:paraId="0000007A">
            <w:pPr>
              <w:bidi w:val="1"/>
              <w:rPr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color w:val="262626"/>
                <w:sz w:val="24"/>
                <w:szCs w:val="24"/>
                <w:rtl w:val="0"/>
              </w:rPr>
              <w:t xml:space="preserve">2009 – 2013</w:t>
            </w:r>
          </w:p>
          <w:p w:rsidR="00000000" w:rsidDel="00000000" w:rsidP="00000000" w:rsidRDefault="00000000" w:rsidRPr="00000000" w14:paraId="0000007B">
            <w:pPr>
              <w:bidi w:val="1"/>
              <w:rPr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5"/>
              </w:numPr>
              <w:bidi w:val="1"/>
              <w:ind w:left="720" w:hanging="360"/>
              <w:rPr>
                <w:rFonts w:ascii="Open Sans" w:cs="Open Sans" w:eastAsia="Open Sans" w:hAnsi="Open Sans"/>
              </w:rPr>
            </w:pPr>
            <w:sdt>
              <w:sdtPr>
                <w:id w:val="-119083785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45818e"/>
                    <w:sz w:val="24"/>
                    <w:szCs w:val="24"/>
                    <w:rtl w:val="1"/>
                  </w:rPr>
                  <w:t xml:space="preserve">بكالوريوس</w:t>
                </w:r>
              </w:sdtContent>
            </w:sdt>
            <w:r w:rsidDel="00000000" w:rsidR="00000000" w:rsidRPr="00000000">
              <w:rPr>
                <w:rFonts w:ascii="Open Sans" w:cs="Open Sans" w:eastAsia="Open Sans" w:hAnsi="Open Sans"/>
                <w:b w:val="1"/>
                <w:color w:val="45818e"/>
                <w:sz w:val="24"/>
                <w:szCs w:val="24"/>
                <w:rtl w:val="1"/>
              </w:rPr>
              <w:t xml:space="preserve"> </w:t>
            </w:r>
            <w:sdt>
              <w:sdtPr>
                <w:id w:val="-1045415999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45818e"/>
                    <w:sz w:val="24"/>
                    <w:szCs w:val="24"/>
                    <w:rtl w:val="1"/>
                  </w:rPr>
                  <w:t xml:space="preserve">إعلام</w:t>
                </w:r>
              </w:sdtContent>
            </w:sdt>
            <w:r w:rsidDel="00000000" w:rsidR="00000000" w:rsidRPr="00000000">
              <w:rPr>
                <w:rFonts w:ascii="Open Sans" w:cs="Open Sans" w:eastAsia="Open Sans" w:hAnsi="Open Sans"/>
                <w:b w:val="1"/>
                <w:color w:val="45818e"/>
                <w:sz w:val="24"/>
                <w:szCs w:val="24"/>
                <w:rtl w:val="1"/>
              </w:rPr>
              <w:t xml:space="preserve"> – </w:t>
            </w:r>
            <w:sdt>
              <w:sdtPr>
                <w:id w:val="-1748297580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45818e"/>
                    <w:sz w:val="24"/>
                    <w:szCs w:val="24"/>
                    <w:rtl w:val="1"/>
                  </w:rPr>
                  <w:t xml:space="preserve">تخصص</w:t>
                </w:r>
              </w:sdtContent>
            </w:sdt>
            <w:r w:rsidDel="00000000" w:rsidR="00000000" w:rsidRPr="00000000">
              <w:rPr>
                <w:rFonts w:ascii="Open Sans" w:cs="Open Sans" w:eastAsia="Open Sans" w:hAnsi="Open Sans"/>
                <w:b w:val="1"/>
                <w:color w:val="45818e"/>
                <w:sz w:val="24"/>
                <w:szCs w:val="24"/>
                <w:rtl w:val="1"/>
              </w:rPr>
              <w:t xml:space="preserve"> </w:t>
            </w:r>
            <w:sdt>
              <w:sdtPr>
                <w:id w:val="-1803766126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45818e"/>
                    <w:sz w:val="24"/>
                    <w:szCs w:val="24"/>
                    <w:rtl w:val="1"/>
                  </w:rPr>
                  <w:t xml:space="preserve">علاقات</w:t>
                </w:r>
              </w:sdtContent>
            </w:sdt>
            <w:r w:rsidDel="00000000" w:rsidR="00000000" w:rsidRPr="00000000">
              <w:rPr>
                <w:rFonts w:ascii="Open Sans" w:cs="Open Sans" w:eastAsia="Open Sans" w:hAnsi="Open Sans"/>
                <w:b w:val="1"/>
                <w:color w:val="45818e"/>
                <w:sz w:val="24"/>
                <w:szCs w:val="24"/>
                <w:rtl w:val="1"/>
              </w:rPr>
              <w:t xml:space="preserve"> </w:t>
            </w:r>
            <w:sdt>
              <w:sdtPr>
                <w:id w:val="-448654698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45818e"/>
                    <w:sz w:val="24"/>
                    <w:szCs w:val="24"/>
                    <w:rtl w:val="1"/>
                  </w:rPr>
                  <w:t xml:space="preserve">عامة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2"/>
            <w:shd w:fill="76a5af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bidi w:val="1"/>
              <w:spacing w:after="0" w:line="276" w:lineRule="auto"/>
              <w:ind w:left="425.1968503937013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الأزمات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الإعلامية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bidi w:val="1"/>
              <w:spacing w:after="0" w:line="276" w:lineRule="auto"/>
              <w:ind w:left="425.1968503937013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التخطيط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الاستراتيجي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للعلاقات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bidi w:val="1"/>
              <w:spacing w:after="0" w:line="276" w:lineRule="auto"/>
              <w:ind w:left="425.1968503937013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علاقات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وسائل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الإعلام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مهارات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التفاوض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والإقناع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قيادة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فرق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8">
            <w:pPr>
              <w:bidi w:val="1"/>
              <w:spacing w:after="160" w:line="259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widowControl w:val="0"/>
        <w:bidi w:val="1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005.0" w:type="dxa"/>
        <w:jc w:val="left"/>
        <w:tblInd w:w="-1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5"/>
        <w:gridCol w:w="1560"/>
        <w:gridCol w:w="255"/>
        <w:gridCol w:w="105"/>
        <w:gridCol w:w="19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1815"/>
            <w:gridCol w:w="1560"/>
            <w:gridCol w:w="255"/>
            <w:gridCol w:w="105"/>
            <w:gridCol w:w="19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4"/>
            <w:shd w:fill="76a5af" w:val="clear"/>
          </w:tcPr>
          <w:p w:rsidR="00000000" w:rsidDel="00000000" w:rsidP="00000000" w:rsidRDefault="00000000" w:rsidRPr="00000000" w14:paraId="0000009C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والدورات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bidi w:val="1"/>
        <w:spacing w:after="0" w:line="276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bidi w:val="1"/>
        <w:spacing w:after="0" w:line="276" w:lineRule="auto"/>
        <w:ind w:left="-566.9291338582684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الأزمات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الإعلامية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"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CIPR (2020).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bidi w:val="1"/>
        <w:spacing w:after="0" w:line="276" w:lineRule="auto"/>
        <w:ind w:left="-566.9291338582684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السمعة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المؤسسية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"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معهد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الاتصالات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الدولي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(2017).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bidi w:val="1"/>
        <w:spacing w:after="0" w:line="276" w:lineRule="auto"/>
        <w:ind w:left="-566.9291338582684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ورشة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استراتيجيات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الإعلام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الرقمي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"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دبي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(2015).</w:t>
      </w:r>
    </w:p>
    <w:p w:rsidR="00000000" w:rsidDel="00000000" w:rsidP="00000000" w:rsidRDefault="00000000" w:rsidRPr="00000000" w14:paraId="000000AE">
      <w:pPr>
        <w:widowControl w:val="0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44.000000000004" w:type="dxa"/>
        <w:jc w:val="left"/>
        <w:tblInd w:w="-1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5"/>
        <w:gridCol w:w="1560"/>
        <w:gridCol w:w="255"/>
        <w:gridCol w:w="105"/>
        <w:gridCol w:w="195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tblGridChange w:id="0">
          <w:tblGrid>
            <w:gridCol w:w="1815"/>
            <w:gridCol w:w="1560"/>
            <w:gridCol w:w="255"/>
            <w:gridCol w:w="105"/>
            <w:gridCol w:w="195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4"/>
            <w:shd w:fill="76a5af" w:val="clear"/>
          </w:tcPr>
          <w:p w:rsidR="00000000" w:rsidDel="00000000" w:rsidP="00000000" w:rsidRDefault="00000000" w:rsidRPr="00000000" w14:paraId="000000AF">
            <w:pPr>
              <w:bidi w:val="1"/>
              <w:rPr>
                <w:rFonts w:ascii="Abel" w:cs="Abel" w:eastAsia="Abel" w:hAnsi="Abe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الإنجازات</w:t>
            </w:r>
          </w:p>
        </w:tc>
        <w:tc>
          <w:tcPr>
            <w:gridSpan w:val="10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BD">
            <w:pPr>
              <w:bidi w:val="1"/>
              <w:rPr>
                <w:rFonts w:ascii="Abel" w:cs="Abel" w:eastAsia="Abel" w:hAnsi="Abe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425.1968503937013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جائزة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"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أفضل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حملة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علاقات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لعام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2021"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للإعلام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425.1968503937013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رفع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الفعاليات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السنوية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للشركة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بنسبة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70%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3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425.1968503937013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بنجاح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حملة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توعوية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وطنية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وصلت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3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شخص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عبر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القنوات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الرقمية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rPr>
                <w:rFonts w:ascii="Abel" w:cs="Abel" w:eastAsia="Abel" w:hAnsi="Abe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4"/>
            <w:shd w:fill="76a5af" w:val="clear"/>
          </w:tcPr>
          <w:p w:rsidR="00000000" w:rsidDel="00000000" w:rsidP="00000000" w:rsidRDefault="00000000" w:rsidRPr="00000000" w14:paraId="000000CF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اللغات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ffffff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numPr>
          <w:ilvl w:val="0"/>
          <w:numId w:val="3"/>
        </w:numPr>
        <w:bidi w:val="1"/>
        <w:spacing w:after="0" w:before="240" w:line="276" w:lineRule="auto"/>
        <w:ind w:left="-566.9291338582684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تامة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لغة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bidi w:val="1"/>
        <w:spacing w:after="240" w:before="0" w:line="276" w:lineRule="auto"/>
        <w:ind w:left="-566.9291338582684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الإنجليزية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مستوى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متقدم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bel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76a5a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76a5af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76a5a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76a5a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76a5a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el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K3iYac4R6+bhTPzOqUZ7eOCkw==">CgMxLjAaHQoBMBIYChYIB0ISCglPcGVuIFNhbnMSBUFyaWFsGh0KATESGAoWCAdCEgoJT3BlbiBTYW5zEgVBcmlhbBodCgEyEhgKFggHQhIKCU9wZW4gU2FucxIFQXJpYWwaHQoBMxIYChYIB0ISCglPcGVuIFNhbnMSBUFyaWFsGh0KATQSGAoWCAdCEgoJT3BlbiBTYW5zEgVBcmlhbDgAciExY3Vma1pBWFpjemZrSURXdVcxQWZnbTFZYzUxNUNWY2E=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