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8" w:w="11906" w:orient="portrait"/>
          <w:pgMar w:bottom="1440.0000000000002" w:top="1440.0000000000002" w:left="1440.0000000000002" w:right="1440.0000000000002" w:header="720" w:footer="720"/>
          <w:pgNumType w:start="1"/>
        </w:sectPr>
      </w:pPr>
      <w:bookmarkStart w:colFirst="0" w:colLast="0" w:name="_kt00dqw29f7f" w:id="0"/>
      <w:bookmarkEnd w:id="0"/>
      <w:r w:rsidDel="00000000" w:rsidR="00000000" w:rsidRPr="00000000">
        <w:rPr>
          <w:rFonts w:ascii="Nunito Light" w:cs="Nunito Light" w:eastAsia="Nunito Light" w:hAnsi="Nunito Light"/>
          <w:b w:val="1"/>
          <w:bCs w:val="1"/>
          <w:i w:val="0"/>
          <w:iCs w:val="0"/>
          <w:smallCaps w:val="0"/>
          <w:strike w:val="0"/>
          <w:color w:val="ffffff"/>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pStyle w:val="Title"/>
        <w:spacing w:line="240" w:lineRule="auto"/>
        <w:rPr>
          <w:rFonts w:ascii="Arial Black" w:cs="Arial Black" w:eastAsia="Arial Black" w:hAnsi="Arial Black"/>
          <w:b w:val="0"/>
          <w:bCs w:val="0"/>
          <w:color w:val="e0e0e0"/>
        </w:rPr>
      </w:pPr>
      <w:bookmarkStart w:colFirst="0" w:colLast="0" w:name="_n1vjcv8touin" w:id="1"/>
      <w:bookmarkEnd w:id="1"/>
      <w:r w:rsidDel="00000000" w:rsidR="00000000" w:rsidRPr="00000000">
        <w:rPr>
          <w:rtl w:val="0"/>
        </w:rPr>
      </w:r>
    </w:p>
    <w:p w:rsidR="00000000" w:rsidDel="00000000" w:rsidP="00000000" w:rsidRDefault="00000000" w:rsidRPr="00000000" w14:paraId="00000003">
      <w:pPr>
        <w:pStyle w:val="Title"/>
        <w:spacing w:line="240" w:lineRule="auto"/>
        <w:rPr>
          <w:rFonts w:ascii="Arial Black" w:cs="Arial Black" w:eastAsia="Arial Black" w:hAnsi="Arial Black"/>
          <w:b w:val="0"/>
          <w:bCs w:val="0"/>
          <w:color w:val="e0e0e0"/>
        </w:rPr>
      </w:pPr>
      <w:bookmarkStart w:colFirst="0" w:colLast="0" w:name="_6b9jbjeegppg" w:id="2"/>
      <w:bookmarkEnd w:id="2"/>
      <w:r w:rsidDel="00000000" w:rsidR="00000000" w:rsidRPr="00000000">
        <w:rPr>
          <w:rtl w:val="0"/>
        </w:rPr>
      </w:r>
    </w:p>
    <w:p w:rsidR="00000000" w:rsidDel="00000000" w:rsidP="00000000" w:rsidRDefault="00000000" w:rsidRPr="00000000" w14:paraId="00000004">
      <w:pPr>
        <w:pStyle w:val="Title"/>
        <w:spacing w:line="240" w:lineRule="auto"/>
        <w:rPr>
          <w:rFonts w:ascii="Arial Black" w:cs="Arial Black" w:eastAsia="Arial Black" w:hAnsi="Arial Black"/>
          <w:b w:val="0"/>
          <w:bCs w:val="0"/>
          <w:color w:val="e0e0e0"/>
        </w:rPr>
      </w:pPr>
      <w:bookmarkStart w:colFirst="0" w:colLast="0" w:name="_lvemylgj008e" w:id="3"/>
      <w:bookmarkEnd w:id="3"/>
      <w:r w:rsidDel="00000000" w:rsidR="00000000" w:rsidRPr="00000000">
        <w:rPr>
          <w:rtl w:val="0"/>
        </w:rPr>
      </w:r>
    </w:p>
    <w:p w:rsidR="00000000" w:rsidDel="00000000" w:rsidP="00000000" w:rsidRDefault="00000000" w:rsidRPr="00000000" w14:paraId="00000005">
      <w:pPr>
        <w:pStyle w:val="Title"/>
        <w:spacing w:line="240" w:lineRule="auto"/>
        <w:rPr>
          <w:rFonts w:ascii="Arial Black" w:cs="Arial Black" w:eastAsia="Arial Black" w:hAnsi="Arial Black"/>
          <w:b w:val="0"/>
          <w:bCs w:val="0"/>
          <w:color w:val="e0e0e0"/>
        </w:rPr>
      </w:pPr>
      <w:bookmarkStart w:colFirst="0" w:colLast="0" w:name="_muh6bed2ely2" w:id="4"/>
      <w:bookmarkEnd w:id="4"/>
      <w:r w:rsidDel="00000000" w:rsidR="00000000" w:rsidRPr="00000000">
        <w:rPr>
          <w:rtl w:val="0"/>
        </w:rPr>
      </w:r>
    </w:p>
    <w:p w:rsidR="00000000" w:rsidDel="00000000" w:rsidP="00000000" w:rsidRDefault="00000000" w:rsidRPr="00000000" w14:paraId="00000006">
      <w:pPr>
        <w:pStyle w:val="Title"/>
        <w:spacing w:line="240" w:lineRule="auto"/>
        <w:rPr>
          <w:rFonts w:ascii="Arial Black" w:cs="Arial Black" w:eastAsia="Arial Black" w:hAnsi="Arial Black"/>
          <w:b w:val="0"/>
          <w:bCs w:val="0"/>
          <w:color w:val="e0e0e0"/>
        </w:rPr>
      </w:pPr>
      <w:bookmarkStart w:colFirst="0" w:colLast="0" w:name="_9k33n5wvp58x" w:id="5"/>
      <w:bookmarkEnd w:id="5"/>
      <w:r w:rsidDel="00000000" w:rsidR="00000000" w:rsidRPr="00000000">
        <w:rPr>
          <w:rtl w:val="0"/>
        </w:rPr>
      </w:r>
    </w:p>
    <w:p w:rsidR="00000000" w:rsidDel="00000000" w:rsidP="00000000" w:rsidRDefault="00000000" w:rsidRPr="00000000" w14:paraId="00000007">
      <w:pPr>
        <w:spacing w:line="240" w:lineRule="auto"/>
        <w:jc w:val="center"/>
        <w:rPr>
          <w:rFonts w:ascii="Arial Black" w:cs="Arial Black" w:eastAsia="Arial Black" w:hAnsi="Arial Black"/>
          <w:b w:val="1"/>
          <w:bCs w:val="1"/>
          <w:color w:val="323232"/>
          <w:sz w:val="52"/>
          <w:szCs w:val="52"/>
        </w:rPr>
      </w:pPr>
      <w:r w:rsidDel="00000000" w:rsidR="00000000" w:rsidRPr="00000000">
        <w:rPr>
          <w:rtl w:val="0"/>
        </w:rPr>
      </w:r>
    </w:p>
    <w:p w:rsidR="00000000" w:rsidDel="00000000" w:rsidP="00000000" w:rsidRDefault="00000000" w:rsidRPr="00000000" w14:paraId="00000008">
      <w:pPr>
        <w:spacing w:line="240" w:lineRule="auto"/>
        <w:jc w:val="center"/>
        <w:rPr>
          <w:b w:val="1"/>
          <w:bCs w:val="1"/>
          <w:color w:val="323232"/>
          <w:sz w:val="28"/>
          <w:szCs w:val="28"/>
        </w:rPr>
      </w:pPr>
      <w:r w:rsidDel="00000000" w:rsidR="00000000" w:rsidRPr="00000000">
        <w:rPr>
          <w:rFonts w:ascii="Arial Black" w:cs="Arial Black" w:eastAsia="Arial Black" w:hAnsi="Arial Black"/>
          <w:b w:val="1"/>
          <w:bCs w:val="1"/>
          <w:color w:val="323232"/>
          <w:sz w:val="52"/>
          <w:szCs w:val="52"/>
          <w:rtl w:val="0"/>
        </w:rPr>
        <w:t xml:space="preserve">Conflicts of Interest Policy (Template)</w:t>
      </w:r>
      <w:r w:rsidDel="00000000" w:rsidR="00000000" w:rsidRPr="00000000">
        <w:rPr>
          <w:rtl w:val="0"/>
        </w:rPr>
      </w:r>
    </w:p>
    <w:p w:rsidR="00000000" w:rsidDel="00000000" w:rsidP="00000000" w:rsidRDefault="00000000" w:rsidRPr="00000000" w14:paraId="00000009">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A">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B">
      <w:pPr>
        <w:rPr>
          <w:b w:val="1"/>
          <w:bCs w:val="1"/>
          <w:color w:val="323232"/>
          <w:sz w:val="28"/>
          <w:szCs w:val="28"/>
        </w:rPr>
      </w:pPr>
      <w:r w:rsidDel="00000000" w:rsidR="00000000" w:rsidRPr="00000000">
        <w:rPr>
          <w:rtl w:val="0"/>
        </w:rPr>
      </w:r>
    </w:p>
    <w:p w:rsidR="00000000" w:rsidDel="00000000" w:rsidP="00000000" w:rsidRDefault="00000000" w:rsidRPr="00000000" w14:paraId="0000000C">
      <w:pPr>
        <w:rPr>
          <w:b w:val="1"/>
          <w:bCs w:val="1"/>
          <w:color w:val="323232"/>
          <w:sz w:val="28"/>
          <w:szCs w:val="28"/>
        </w:rPr>
      </w:pPr>
      <w:r w:rsidDel="00000000" w:rsidR="00000000" w:rsidRPr="00000000">
        <w:rPr>
          <w:rtl w:val="0"/>
        </w:rPr>
      </w:r>
    </w:p>
    <w:p w:rsidR="00000000" w:rsidDel="00000000" w:rsidP="00000000" w:rsidRDefault="00000000" w:rsidRPr="00000000" w14:paraId="0000000D">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0E">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0F">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0">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1">
      <w:pPr>
        <w:rPr>
          <w:rFonts w:ascii="Nunito" w:cs="Nunito" w:eastAsia="Nunito" w:hAnsi="Nunito"/>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2">
      <w:pPr>
        <w:rPr>
          <w:rFonts w:ascii="Nunito" w:cs="Nunito" w:eastAsia="Nunito" w:hAnsi="Nunito"/>
          <w:b w:val="1"/>
          <w:bCs w:val="1"/>
        </w:rPr>
      </w:pPr>
      <w:r w:rsidDel="00000000" w:rsidR="00000000" w:rsidRPr="00000000">
        <w:rPr>
          <w:rFonts w:ascii="Nunito" w:cs="Nunito" w:eastAsia="Nunito" w:hAnsi="Nunito"/>
          <w:b w:val="1"/>
          <w:bCs w:val="1"/>
          <w:rtl w:val="0"/>
        </w:rPr>
        <w:t xml:space="preserve">Version Control</w:t>
      </w:r>
    </w:p>
    <w:tbl>
      <w:tblPr>
        <w:tblStyle w:val="Table1"/>
        <w:tblpPr w:leftFromText="180" w:rightFromText="180" w:topFromText="180" w:bottomFromText="180" w:vertAnchor="text" w:horzAnchor="text" w:tblpX="-30" w:tblpY="0"/>
        <w:tblW w:w="8867.905511811025" w:type="dxa"/>
        <w:jc w:val="left"/>
        <w:tblInd w:w="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55.9685039370083"/>
        <w:gridCol w:w="2955.9685039370083"/>
        <w:gridCol w:w="2955.9685039370083"/>
        <w:tblGridChange w:id="0">
          <w:tblGrid>
            <w:gridCol w:w="2955.9685039370083"/>
            <w:gridCol w:w="2955.9685039370083"/>
            <w:gridCol w:w="2955.9685039370083"/>
          </w:tblGrid>
        </w:tblGridChange>
      </w:tblGrid>
      <w:tr>
        <w:trPr>
          <w:cantSplit w:val="0"/>
          <w:trHeight w:val="632.8" w:hRule="atLeast"/>
          <w:tblHeader w:val="0"/>
        </w:trPr>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3">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Date</w:t>
            </w:r>
          </w:p>
        </w:tc>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4">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Version</w:t>
            </w:r>
          </w:p>
        </w:tc>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5">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Change</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6">
            <w:pPr>
              <w:spacing w:after="0" w:before="0" w:line="240" w:lineRule="auto"/>
              <w:rPr/>
            </w:pPr>
            <w:r w:rsidDel="00000000" w:rsidR="00000000" w:rsidRPr="00000000">
              <w:rPr>
                <w:rtl w:val="0"/>
              </w:rPr>
              <w:t xml:space="preserve">12 October 25</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7">
            <w:pPr>
              <w:spacing w:after="0" w:before="0" w:line="240" w:lineRule="auto"/>
              <w:rPr/>
            </w:pPr>
            <w:r w:rsidDel="00000000" w:rsidR="00000000" w:rsidRPr="00000000">
              <w:rPr>
                <w:rtl w:val="0"/>
              </w:rPr>
              <w:t xml:space="preserve">1.0</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8">
            <w:pPr>
              <w:spacing w:after="0" w:before="0" w:line="240" w:lineRule="auto"/>
              <w:rPr/>
            </w:pPr>
            <w:r w:rsidDel="00000000" w:rsidR="00000000" w:rsidRPr="00000000">
              <w:rPr>
                <w:rtl w:val="0"/>
              </w:rPr>
              <w:t xml:space="preserve">Publication</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9">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A">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B">
            <w:pPr>
              <w:spacing w:after="0" w:before="0" w:line="240" w:lineRule="auto"/>
              <w:rPr/>
            </w:pPr>
            <w:r w:rsidDel="00000000" w:rsidR="00000000" w:rsidRPr="00000000">
              <w:rPr>
                <w:rtl w:val="0"/>
              </w:rPr>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C">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D">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E">
            <w:pPr>
              <w:spacing w:after="0" w:before="0" w:line="240" w:lineRule="auto"/>
              <w:rPr/>
            </w:pPr>
            <w:r w:rsidDel="00000000" w:rsidR="00000000" w:rsidRPr="00000000">
              <w:rPr>
                <w:rtl w:val="0"/>
              </w:rPr>
            </w:r>
          </w:p>
        </w:tc>
      </w:tr>
    </w:tbl>
    <w:p w:rsidR="00000000" w:rsidDel="00000000" w:rsidP="00000000" w:rsidRDefault="00000000" w:rsidRPr="00000000" w14:paraId="0000001F">
      <w:pPr>
        <w:spacing w:line="240" w:lineRule="auto"/>
        <w:rPr>
          <w:b w:val="1"/>
          <w:bCs w:val="1"/>
          <w:color w:val="323232"/>
          <w:sz w:val="28"/>
          <w:szCs w:val="28"/>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color w:val="23282b"/>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color w:val="23282b"/>
          <w:sz w:val="28"/>
          <w:szCs w:val="28"/>
        </w:rPr>
      </w:pPr>
      <w:r w:rsidDel="00000000" w:rsidR="00000000" w:rsidRPr="00000000">
        <w:rPr>
          <w:rtl w:val="0"/>
        </w:rPr>
      </w:r>
    </w:p>
    <w:sdt>
      <w:sdtPr>
        <w:id w:val="-1715946139"/>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after="0" w:before="60" w:line="240" w:lineRule="auto"/>
            <w:jc w:val="left"/>
            <w:rPr>
              <w:rFonts w:ascii="Arial" w:cs="Arial" w:eastAsia="Arial" w:hAnsi="Arial"/>
              <w:b w:val="1"/>
              <w:bCs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ff73xvaem5no">
            <w:r w:rsidDel="00000000" w:rsidR="00000000" w:rsidRPr="00000000">
              <w:rPr>
                <w:rFonts w:ascii="Arial" w:cs="Arial" w:eastAsia="Arial" w:hAnsi="Arial"/>
                <w:b w:val="1"/>
                <w:bCs w:val="1"/>
                <w:color w:val="000000"/>
                <w:sz w:val="22"/>
                <w:szCs w:val="22"/>
                <w:rtl w:val="0"/>
              </w:rPr>
              <w:t xml:space="preserve">Template Customisation and Usage Guide [DELETE WHEN READY]</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m3i63vp9kzpt">
            <w:r w:rsidDel="00000000" w:rsidR="00000000" w:rsidRPr="00000000">
              <w:rPr>
                <w:rFonts w:ascii="Arial" w:cs="Arial" w:eastAsia="Arial" w:hAnsi="Arial"/>
                <w:color w:val="23282b"/>
                <w:sz w:val="22"/>
                <w:szCs w:val="22"/>
                <w:rtl w:val="0"/>
              </w:rPr>
              <w:t xml:space="preserve">1. Introduction</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h966nu7zg32f">
            <w:r w:rsidDel="00000000" w:rsidR="00000000" w:rsidRPr="00000000">
              <w:rPr>
                <w:rFonts w:ascii="Arial" w:cs="Arial" w:eastAsia="Arial" w:hAnsi="Arial"/>
                <w:color w:val="000000"/>
                <w:sz w:val="22"/>
                <w:szCs w:val="22"/>
                <w:rtl w:val="0"/>
              </w:rPr>
              <w:t xml:space="preserve">1.1 Commitment to Fair and Transparent Conflict Management</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7z5lj4d5f1g4">
            <w:r w:rsidDel="00000000" w:rsidR="00000000" w:rsidRPr="00000000">
              <w:rPr>
                <w:rFonts w:ascii="Arial" w:cs="Arial" w:eastAsia="Arial" w:hAnsi="Arial"/>
                <w:color w:val="000000"/>
                <w:sz w:val="22"/>
                <w:szCs w:val="22"/>
                <w:rtl w:val="0"/>
              </w:rPr>
              <w:t xml:space="preserve">1.2 Purpose</w:t>
              <w:tab/>
              <w:t xml:space="preserve">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3871bljo4owf">
            <w:r w:rsidDel="00000000" w:rsidR="00000000" w:rsidRPr="00000000">
              <w:rPr>
                <w:rFonts w:ascii="Arial" w:cs="Arial" w:eastAsia="Arial" w:hAnsi="Arial"/>
                <w:color w:val="000000"/>
                <w:sz w:val="22"/>
                <w:szCs w:val="22"/>
                <w:rtl w:val="0"/>
              </w:rPr>
              <w:t xml:space="preserve">1.3 Scope</w:t>
              <w:tab/>
              <w:t xml:space="preserve">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ntmkhbftxemn">
            <w:r w:rsidDel="00000000" w:rsidR="00000000" w:rsidRPr="00000000">
              <w:rPr>
                <w:rFonts w:ascii="Arial" w:cs="Arial" w:eastAsia="Arial" w:hAnsi="Arial"/>
                <w:b w:val="1"/>
                <w:bCs w:val="1"/>
                <w:color w:val="000000"/>
                <w:sz w:val="22"/>
                <w:szCs w:val="22"/>
                <w:rtl w:val="0"/>
              </w:rPr>
              <w:t xml:space="preserve">2. Defining Conflicts of Interest</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wrvlwsw8vkrq">
            <w:r w:rsidDel="00000000" w:rsidR="00000000" w:rsidRPr="00000000">
              <w:rPr>
                <w:rFonts w:ascii="Arial" w:cs="Arial" w:eastAsia="Arial" w:hAnsi="Arial"/>
                <w:color w:val="000000"/>
                <w:sz w:val="22"/>
                <w:szCs w:val="22"/>
                <w:rtl w:val="0"/>
              </w:rPr>
              <w:t xml:space="preserve">2.1 What is a Conflict of Interest</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ja5rd0zexj1x">
            <w:r w:rsidDel="00000000" w:rsidR="00000000" w:rsidRPr="00000000">
              <w:rPr>
                <w:rFonts w:ascii="Arial" w:cs="Arial" w:eastAsia="Arial" w:hAnsi="Arial"/>
                <w:color w:val="000000"/>
                <w:sz w:val="22"/>
                <w:szCs w:val="22"/>
                <w:rtl w:val="0"/>
              </w:rPr>
              <w:t xml:space="preserve">2.2 Regulatory Obligations under SYSC 10 and Consumer Credit Regulations</w:t>
              <w:tab/>
              <w:t xml:space="preserve">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odft8pr77gzh">
            <w:r w:rsidDel="00000000" w:rsidR="00000000" w:rsidRPr="00000000">
              <w:rPr>
                <w:rFonts w:ascii="Arial" w:cs="Arial" w:eastAsia="Arial" w:hAnsi="Arial"/>
                <w:color w:val="000000"/>
                <w:sz w:val="22"/>
                <w:szCs w:val="22"/>
                <w:rtl w:val="0"/>
              </w:rPr>
              <w:t xml:space="preserve">2.3 Types of Conflicts Relevant to the Firm</w:t>
              <w:tab/>
              <w:t xml:space="preserve">8</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rcojepo9c8af">
            <w:r w:rsidDel="00000000" w:rsidR="00000000" w:rsidRPr="00000000">
              <w:rPr>
                <w:rFonts w:ascii="Arial" w:cs="Arial" w:eastAsia="Arial" w:hAnsi="Arial"/>
                <w:b w:val="1"/>
                <w:bCs w:val="1"/>
                <w:color w:val="000000"/>
                <w:sz w:val="22"/>
                <w:szCs w:val="22"/>
                <w:rtl w:val="0"/>
              </w:rPr>
              <w:t xml:space="preserve">3. Identification and Assessment of Conflicts</w:t>
              <w:tab/>
              <w:t xml:space="preserve">10</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7j1ttdf38qqv">
            <w:r w:rsidDel="00000000" w:rsidR="00000000" w:rsidRPr="00000000">
              <w:rPr>
                <w:rFonts w:ascii="Arial" w:cs="Arial" w:eastAsia="Arial" w:hAnsi="Arial"/>
                <w:color w:val="000000"/>
                <w:sz w:val="22"/>
                <w:szCs w:val="22"/>
                <w:rtl w:val="0"/>
              </w:rPr>
              <w:t xml:space="preserve">3.1 Conflict Identification Process</w:t>
              <w:tab/>
              <w:t xml:space="preserve">10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c1a8yrssi5xt">
            <w:r w:rsidDel="00000000" w:rsidR="00000000" w:rsidRPr="00000000">
              <w:rPr>
                <w:rFonts w:ascii="Arial" w:cs="Arial" w:eastAsia="Arial" w:hAnsi="Arial"/>
                <w:color w:val="000000"/>
                <w:sz w:val="22"/>
                <w:szCs w:val="22"/>
                <w:rtl w:val="0"/>
              </w:rPr>
              <w:t xml:space="preserve">3.2 Situations Where Conflicts May Arise</w:t>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poe877hgo39e">
            <w:r w:rsidDel="00000000" w:rsidR="00000000" w:rsidRPr="00000000">
              <w:rPr>
                <w:rFonts w:ascii="Arial" w:cs="Arial" w:eastAsia="Arial" w:hAnsi="Arial"/>
                <w:color w:val="000000"/>
                <w:sz w:val="22"/>
                <w:szCs w:val="22"/>
                <w:rtl w:val="0"/>
              </w:rPr>
              <w:t xml:space="preserve">3.3 Client vs. Client Conflicts</w:t>
              <w:tab/>
              <w:t xml:space="preserve">11</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ygtdy83cy7y5">
            <w:r w:rsidDel="00000000" w:rsidR="00000000" w:rsidRPr="00000000">
              <w:rPr>
                <w:rFonts w:ascii="Arial" w:cs="Arial" w:eastAsia="Arial" w:hAnsi="Arial"/>
                <w:color w:val="000000"/>
                <w:sz w:val="22"/>
                <w:szCs w:val="22"/>
                <w:rtl w:val="0"/>
              </w:rPr>
              <w:t xml:space="preserve">3.4 Employee and Management Conflicts</w:t>
              <w:tab/>
              <w:t xml:space="preserve">11</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micpgyh3vjch">
            <w:r w:rsidDel="00000000" w:rsidR="00000000" w:rsidRPr="00000000">
              <w:rPr>
                <w:rFonts w:ascii="Arial" w:cs="Arial" w:eastAsia="Arial" w:hAnsi="Arial"/>
                <w:b w:val="1"/>
                <w:bCs w:val="1"/>
                <w:color w:val="000000"/>
                <w:sz w:val="22"/>
                <w:szCs w:val="22"/>
                <w:rtl w:val="0"/>
              </w:rPr>
              <w:t xml:space="preserve">4. Managing and Mitigating Conflicts</w:t>
              <w:tab/>
              <w:t xml:space="preserve">13</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rvzy8cuc0jh8">
            <w:r w:rsidDel="00000000" w:rsidR="00000000" w:rsidRPr="00000000">
              <w:rPr>
                <w:rFonts w:ascii="Arial" w:cs="Arial" w:eastAsia="Arial" w:hAnsi="Arial"/>
                <w:color w:val="000000"/>
                <w:sz w:val="22"/>
                <w:szCs w:val="22"/>
                <w:rtl w:val="0"/>
              </w:rPr>
              <w:t xml:space="preserve">4.1 Preventive Measures and Internal Controls</w:t>
              <w:tab/>
              <w:t xml:space="preserve">13</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x3zv08bw6ljl">
            <w:r w:rsidDel="00000000" w:rsidR="00000000" w:rsidRPr="00000000">
              <w:rPr>
                <w:rFonts w:ascii="Arial" w:cs="Arial" w:eastAsia="Arial" w:hAnsi="Arial"/>
                <w:color w:val="000000"/>
                <w:sz w:val="22"/>
                <w:szCs w:val="22"/>
                <w:rtl w:val="0"/>
              </w:rPr>
              <w:t xml:space="preserve">4.2 Information Barriers and Segregation of Duties</w:t>
              <w:tab/>
              <w:t xml:space="preserve">13</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7j5pfasoid2z">
            <w:r w:rsidDel="00000000" w:rsidR="00000000" w:rsidRPr="00000000">
              <w:rPr>
                <w:rFonts w:ascii="Arial" w:cs="Arial" w:eastAsia="Arial" w:hAnsi="Arial"/>
                <w:color w:val="000000"/>
                <w:sz w:val="22"/>
                <w:szCs w:val="22"/>
                <w:rtl w:val="0"/>
              </w:rPr>
              <w:t xml:space="preserve">4.3 Staff Remuneration and Incentives Controls</w:t>
              <w:tab/>
              <w:t xml:space="preserve">14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uee9gktkqt01">
            <w:r w:rsidDel="00000000" w:rsidR="00000000" w:rsidRPr="00000000">
              <w:rPr>
                <w:rFonts w:ascii="Arial" w:cs="Arial" w:eastAsia="Arial" w:hAnsi="Arial"/>
                <w:color w:val="000000"/>
                <w:sz w:val="22"/>
                <w:szCs w:val="22"/>
                <w:rtl w:val="0"/>
              </w:rPr>
              <w:t xml:space="preserve">4.4 Disclosure Requirements and Client Communication</w:t>
              <w:tab/>
              <w:t xml:space="preserve">14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8v64rbut67kl">
            <w:r w:rsidDel="00000000" w:rsidR="00000000" w:rsidRPr="00000000">
              <w:rPr>
                <w:rFonts w:ascii="Arial" w:cs="Arial" w:eastAsia="Arial" w:hAnsi="Arial"/>
                <w:color w:val="000000"/>
                <w:sz w:val="22"/>
                <w:szCs w:val="22"/>
                <w:rtl w:val="0"/>
              </w:rPr>
              <w:t xml:space="preserve">4.5 Recusal and Removal from Decision-Making</w:t>
              <w:tab/>
              <w:t xml:space="preserve">15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3arjvi20js9z">
            <w:r w:rsidDel="00000000" w:rsidR="00000000" w:rsidRPr="00000000">
              <w:rPr>
                <w:rFonts w:ascii="Arial" w:cs="Arial" w:eastAsia="Arial" w:hAnsi="Arial"/>
                <w:b w:val="1"/>
                <w:bCs w:val="1"/>
                <w:color w:val="000000"/>
                <w:sz w:val="22"/>
                <w:szCs w:val="22"/>
                <w:rtl w:val="0"/>
              </w:rPr>
              <w:t xml:space="preserve">5. Record-keeping and Governance</w:t>
              <w:tab/>
              <w:t xml:space="preserve">16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4uaakzu0qz9">
            <w:r w:rsidDel="00000000" w:rsidR="00000000" w:rsidRPr="00000000">
              <w:rPr>
                <w:rFonts w:ascii="Arial" w:cs="Arial" w:eastAsia="Arial" w:hAnsi="Arial"/>
                <w:color w:val="000000"/>
                <w:sz w:val="22"/>
                <w:szCs w:val="22"/>
                <w:rtl w:val="0"/>
              </w:rPr>
              <w:t xml:space="preserve">5.1 Maintaining a Conflict of Interest Register</w:t>
              <w:tab/>
              <w:t xml:space="preserve">16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rp6sofleqit1">
            <w:r w:rsidDel="00000000" w:rsidR="00000000" w:rsidRPr="00000000">
              <w:rPr>
                <w:rFonts w:ascii="Arial" w:cs="Arial" w:eastAsia="Arial" w:hAnsi="Arial"/>
                <w:color w:val="000000"/>
                <w:sz w:val="22"/>
                <w:szCs w:val="22"/>
                <w:rtl w:val="0"/>
              </w:rPr>
              <w:t xml:space="preserve">5.2 Responsibilities of Senior Management and Compliance</w:t>
              <w:tab/>
              <w:t xml:space="preserve">17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4j7oll1uf22f">
            <w:r w:rsidDel="00000000" w:rsidR="00000000" w:rsidRPr="00000000">
              <w:rPr>
                <w:rFonts w:ascii="Arial" w:cs="Arial" w:eastAsia="Arial" w:hAnsi="Arial"/>
                <w:color w:val="000000"/>
                <w:sz w:val="22"/>
                <w:szCs w:val="22"/>
                <w:rtl w:val="0"/>
              </w:rPr>
              <w:t xml:space="preserve">5.3 Monitoring and Ongoing Review</w:t>
              <w:tab/>
              <w:t xml:space="preserve">18</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9ru9nkoxgt2h">
            <w:r w:rsidDel="00000000" w:rsidR="00000000" w:rsidRPr="00000000">
              <w:rPr>
                <w:rFonts w:ascii="Arial" w:cs="Arial" w:eastAsia="Arial" w:hAnsi="Arial"/>
                <w:b w:val="1"/>
                <w:bCs w:val="1"/>
                <w:color w:val="000000"/>
                <w:sz w:val="22"/>
                <w:szCs w:val="22"/>
                <w:rtl w:val="0"/>
              </w:rPr>
              <w:t xml:space="preserve">6. Staff Training and Compliance Culture</w:t>
              <w:tab/>
              <w:t xml:space="preserve">19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st2udaltzqve">
            <w:r w:rsidDel="00000000" w:rsidR="00000000" w:rsidRPr="00000000">
              <w:rPr>
                <w:rFonts w:ascii="Arial" w:cs="Arial" w:eastAsia="Arial" w:hAnsi="Arial"/>
                <w:color w:val="000000"/>
                <w:sz w:val="22"/>
                <w:szCs w:val="22"/>
                <w:rtl w:val="0"/>
              </w:rPr>
              <w:t xml:space="preserve">6.1 Training Requirements for Staff</w:t>
              <w:tab/>
              <w:t xml:space="preserve">19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twvz9x38j97s">
            <w:r w:rsidDel="00000000" w:rsidR="00000000" w:rsidRPr="00000000">
              <w:rPr>
                <w:rFonts w:ascii="Arial" w:cs="Arial" w:eastAsia="Arial" w:hAnsi="Arial"/>
                <w:color w:val="000000"/>
                <w:sz w:val="22"/>
                <w:szCs w:val="22"/>
                <w:rtl w:val="0"/>
              </w:rPr>
              <w:t xml:space="preserve">6.2 Escalation and Reporting of Conflicts</w:t>
              <w:tab/>
              <w:t xml:space="preserve">20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cdftqmg326en">
            <w:r w:rsidDel="00000000" w:rsidR="00000000" w:rsidRPr="00000000">
              <w:rPr>
                <w:rFonts w:ascii="Arial" w:cs="Arial" w:eastAsia="Arial" w:hAnsi="Arial"/>
                <w:color w:val="000000"/>
                <w:sz w:val="22"/>
                <w:szCs w:val="22"/>
                <w:rtl w:val="0"/>
              </w:rPr>
              <w:t xml:space="preserve">6.3 Disciplinary Consequences for Non-Compliance</w:t>
              <w:tab/>
              <w:t xml:space="preserve">21</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jc w:val="left"/>
            <w:rPr>
              <w:rFonts w:ascii="Arial" w:cs="Arial" w:eastAsia="Arial" w:hAnsi="Arial"/>
              <w:b w:val="1"/>
              <w:bCs w:val="1"/>
              <w:color w:val="000000"/>
              <w:sz w:val="22"/>
              <w:szCs w:val="22"/>
            </w:rPr>
          </w:pPr>
          <w:hyperlink w:anchor="_j9h2ct4x96ys">
            <w:r w:rsidDel="00000000" w:rsidR="00000000" w:rsidRPr="00000000">
              <w:rPr>
                <w:rFonts w:ascii="Arial" w:cs="Arial" w:eastAsia="Arial" w:hAnsi="Arial"/>
                <w:b w:val="1"/>
                <w:bCs w:val="1"/>
                <w:color w:val="000000"/>
                <w:sz w:val="22"/>
                <w:szCs w:val="22"/>
                <w:rtl w:val="0"/>
              </w:rPr>
              <w:t xml:space="preserve">7. Policy Review and Updates</w:t>
              <w:tab/>
              <w:t xml:space="preserve">23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z03ps94q43c4">
            <w:r w:rsidDel="00000000" w:rsidR="00000000" w:rsidRPr="00000000">
              <w:rPr>
                <w:rFonts w:ascii="Arial" w:cs="Arial" w:eastAsia="Arial" w:hAnsi="Arial"/>
                <w:color w:val="000000"/>
                <w:sz w:val="22"/>
                <w:szCs w:val="22"/>
                <w:rtl w:val="0"/>
              </w:rPr>
              <w:t xml:space="preserve">7.1 Annual Review and Updates</w:t>
              <w:tab/>
              <w:t xml:space="preserve">23</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706iux3gbo46">
            <w:r w:rsidDel="00000000" w:rsidR="00000000" w:rsidRPr="00000000">
              <w:rPr>
                <w:rFonts w:ascii="Arial" w:cs="Arial" w:eastAsia="Arial" w:hAnsi="Arial"/>
                <w:color w:val="000000"/>
                <w:sz w:val="22"/>
                <w:szCs w:val="22"/>
                <w:rtl w:val="0"/>
              </w:rPr>
              <w:t xml:space="preserve">7.2 Approval and Oversight by Senior Management</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pStyle w:val="Heading2"/>
        <w:ind w:left="720" w:firstLine="0"/>
        <w:rPr/>
      </w:pPr>
      <w:bookmarkStart w:colFirst="0" w:colLast="0" w:name="_uw9295b40yt9" w:id="6"/>
      <w:bookmarkEnd w:id="6"/>
      <w:r w:rsidDel="00000000" w:rsidR="00000000" w:rsidRPr="00000000">
        <w:rPr>
          <w:rtl w:val="0"/>
        </w:rPr>
      </w:r>
    </w:p>
    <w:p w:rsidR="00000000" w:rsidDel="00000000" w:rsidP="00000000" w:rsidRDefault="00000000" w:rsidRPr="00000000" w14:paraId="00000042">
      <w:pPr>
        <w:pStyle w:val="Heading2"/>
        <w:rPr/>
      </w:pPr>
      <w:bookmarkStart w:colFirst="0" w:colLast="0" w:name="_fn0d9s8fif" w:id="7"/>
      <w:bookmarkEnd w:id="7"/>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pBdr>
          <w:top w:space="0" w:sz="0" w:val="nil"/>
          <w:left w:space="0" w:sz="0" w:val="nil"/>
        </w:pBdr>
        <w:spacing w:after="80" w:before="280" w:lineRule="auto"/>
        <w:ind w:left="0" w:firstLine="0"/>
        <w:rPr/>
      </w:pPr>
      <w:bookmarkStart w:colFirst="0" w:colLast="0" w:name="_ff73xvaem5no" w:id="8"/>
      <w:bookmarkEnd w:id="8"/>
      <w:r w:rsidDel="00000000" w:rsidR="00000000" w:rsidRPr="00000000">
        <w:rPr>
          <w:rtl w:val="0"/>
        </w:rPr>
        <w:t xml:space="preserve">Template Customisation and Usage Guide [</w:t>
      </w:r>
      <w:r w:rsidDel="00000000" w:rsidR="00000000" w:rsidRPr="00000000">
        <w:rPr>
          <w:highlight w:val="yellow"/>
          <w:rtl w:val="0"/>
        </w:rPr>
        <w:t xml:space="preserve">DELETE WHEN READY</w:t>
      </w:r>
      <w:r w:rsidDel="00000000" w:rsidR="00000000" w:rsidRPr="00000000">
        <w:rPr>
          <w:rtl w:val="0"/>
        </w:rPr>
        <w:t xml:space="preserve">]</w:t>
      </w:r>
    </w:p>
    <w:p w:rsidR="00000000" w:rsidDel="00000000" w:rsidP="00000000" w:rsidRDefault="00000000" w:rsidRPr="00000000" w14:paraId="00000044">
      <w:pPr>
        <w:spacing w:after="40"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45">
      <w:pPr>
        <w:spacing w:after="4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Customising Your Policy Template</w:t>
      </w:r>
    </w:p>
    <w:p w:rsidR="00000000" w:rsidDel="00000000" w:rsidP="00000000" w:rsidRDefault="00000000" w:rsidRPr="00000000" w14:paraId="00000046">
      <w:pPr>
        <w:rPr/>
      </w:pPr>
      <w:r w:rsidDel="00000000" w:rsidR="00000000" w:rsidRPr="00000000">
        <w:rPr>
          <w:rtl w:val="0"/>
        </w:rPr>
        <w:t xml:space="preserve">This template is a guideline and must be customised to reflect your organisation’s operations, regulatory obligations, and internal controls. Replace all placeholder text with business-specific information to align with your processes, risk framework, and compliance structure.</w:t>
      </w:r>
    </w:p>
    <w:p w:rsidR="00000000" w:rsidDel="00000000" w:rsidP="00000000" w:rsidRDefault="00000000" w:rsidRPr="00000000" w14:paraId="00000047">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***This guidance and footer graphic should be removed from the final saved version***</w:t>
      </w:r>
    </w:p>
    <w:p w:rsidR="00000000" w:rsidDel="00000000" w:rsidP="00000000" w:rsidRDefault="00000000" w:rsidRPr="00000000" w14:paraId="00000048">
      <w:pPr>
        <w:rPr>
          <w:rFonts w:ascii="Nunito" w:cs="Nunito" w:eastAsia="Nunito" w:hAnsi="Nunito"/>
          <w:b w:val="1"/>
          <w:bCs w:val="1"/>
        </w:rPr>
      </w:pPr>
      <w:r w:rsidDel="00000000" w:rsidR="00000000" w:rsidRPr="00000000">
        <w:rPr>
          <w:rFonts w:ascii="Nunito" w:cs="Nunito" w:eastAsia="Nunito" w:hAnsi="Nunito"/>
          <w:b w:val="1"/>
          <w:bCs w:val="1"/>
          <w:rtl w:val="0"/>
        </w:rPr>
        <w:t xml:space="preserve">Using This Template</w:t>
      </w:r>
    </w:p>
    <w:p w:rsidR="00000000" w:rsidDel="00000000" w:rsidP="00000000" w:rsidRDefault="00000000" w:rsidRPr="00000000" w14:paraId="00000049">
      <w:pPr>
        <w:rPr/>
      </w:pPr>
      <w:r w:rsidDel="00000000" w:rsidR="00000000" w:rsidRPr="00000000">
        <w:rPr>
          <w:rtl w:val="0"/>
        </w:rPr>
        <w:t xml:space="preserve">This template provides a comprehensive framework to help your organisation develop a policy that meets regulatory requirements and industry best practices. While structured to align with FCA expectations, you must review and adjust the content to reflect your organisation’s compliance framework, sector-specific risks, and operational procedures.</w:t>
      </w:r>
    </w:p>
    <w:p w:rsidR="00000000" w:rsidDel="00000000" w:rsidP="00000000" w:rsidRDefault="00000000" w:rsidRPr="00000000" w14:paraId="0000004A">
      <w:pPr>
        <w:rPr/>
      </w:pPr>
      <w:r w:rsidDel="00000000" w:rsidR="00000000" w:rsidRPr="00000000">
        <w:rPr>
          <w:rtl w:val="0"/>
        </w:rPr>
        <w:t xml:space="preserve">If your organisation has policies related to this document, ensure that relevant cross-references are included. Some referenced policies are available separately or as part of bundled compliance toolkits.</w:t>
      </w:r>
    </w:p>
    <w:p w:rsidR="00000000" w:rsidDel="00000000" w:rsidP="00000000" w:rsidRDefault="00000000" w:rsidRPr="00000000" w14:paraId="0000004B">
      <w:pPr>
        <w:rPr>
          <w:rFonts w:ascii="Nunito" w:cs="Nunito" w:eastAsia="Nunito" w:hAnsi="Nunito"/>
          <w:b w:val="1"/>
          <w:bCs w:val="1"/>
        </w:rPr>
      </w:pPr>
      <w:r w:rsidDel="00000000" w:rsidR="00000000" w:rsidRPr="00000000">
        <w:rPr>
          <w:rFonts w:ascii="Nunito" w:cs="Nunito" w:eastAsia="Nunito" w:hAnsi="Nunito"/>
          <w:b w:val="1"/>
          <w:bCs w:val="1"/>
          <w:rtl w:val="0"/>
        </w:rPr>
        <w:t xml:space="preserve">Licence and Usage Terms</w:t>
      </w:r>
    </w:p>
    <w:p w:rsidR="00000000" w:rsidDel="00000000" w:rsidP="00000000" w:rsidRDefault="00000000" w:rsidRPr="00000000" w14:paraId="0000004C">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This template is provided for use only within the purchasing organisation. Without prior written consent, redistribution, resale, or transfer of this document in any form is strictly prohibited. </w:t>
      </w:r>
    </w:p>
    <w:p w:rsidR="00000000" w:rsidDel="00000000" w:rsidP="00000000" w:rsidRDefault="00000000" w:rsidRPr="00000000" w14:paraId="0000004D">
      <w:pPr>
        <w:rPr/>
      </w:pPr>
      <w:r w:rsidDel="00000000" w:rsidR="00000000" w:rsidRPr="00000000">
        <w:rPr>
          <w:rtl w:val="0"/>
        </w:rPr>
        <w:t xml:space="preserve">For usage rights and licensing details, refer to the Instructions document included with your purchase.</w:t>
      </w:r>
    </w:p>
    <w:p w:rsidR="00000000" w:rsidDel="00000000" w:rsidP="00000000" w:rsidRDefault="00000000" w:rsidRPr="00000000" w14:paraId="0000004E">
      <w:pPr>
        <w:rPr>
          <w:rFonts w:ascii="Nunito" w:cs="Nunito" w:eastAsia="Nunito" w:hAnsi="Nunito"/>
          <w:b w:val="1"/>
          <w:bCs w:val="1"/>
        </w:rPr>
      </w:pPr>
      <w:r w:rsidDel="00000000" w:rsidR="00000000" w:rsidRPr="00000000">
        <w:rPr>
          <w:rFonts w:ascii="Nunito" w:cs="Nunito" w:eastAsia="Nunito" w:hAnsi="Nunito"/>
          <w:b w:val="1"/>
          <w:bCs w:val="1"/>
          <w:rtl w:val="0"/>
        </w:rPr>
        <w:t xml:space="preserve">Disclaimer</w:t>
      </w:r>
    </w:p>
    <w:p w:rsidR="00000000" w:rsidDel="00000000" w:rsidP="00000000" w:rsidRDefault="00000000" w:rsidRPr="00000000" w14:paraId="0000004F">
      <w:pPr>
        <w:rPr/>
      </w:pPr>
      <w:r w:rsidDel="00000000" w:rsidR="00000000" w:rsidRPr="00000000">
        <w:rPr>
          <w:rtl w:val="0"/>
        </w:rPr>
        <w:t xml:space="preserve">This template supports regulatory compliance and governance, but does not constitute legal or professional advice. While designed for accuracy and relevance, your organisation is responsible for ensuring compliance with FCA regulations, industry standards, and legal requirements.</w:t>
      </w:r>
    </w:p>
    <w:p w:rsidR="00000000" w:rsidDel="00000000" w:rsidP="00000000" w:rsidRDefault="00000000" w:rsidRPr="00000000" w14:paraId="00000050">
      <w:pPr>
        <w:rPr/>
      </w:pPr>
      <w:r w:rsidDel="00000000" w:rsidR="00000000" w:rsidRPr="00000000">
        <w:rPr>
          <w:rtl w:val="0"/>
        </w:rPr>
        <w:t xml:space="preserve">Customise this document to reflect your business model, risk exposure, and internal policies. If unsure of your regulatory or legal obligations, seek professional advice before finalising. </w:t>
      </w:r>
    </w:p>
    <w:p w:rsidR="00000000" w:rsidDel="00000000" w:rsidP="00000000" w:rsidRDefault="00000000" w:rsidRPr="00000000" w14:paraId="00000051">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Use of this template assumes no liability for loss, damage, or regulatory action.</w:t>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numPr>
          <w:ilvl w:val="0"/>
          <w:numId w:val="32"/>
        </w:numPr>
        <w:rPr>
          <w:rFonts w:ascii="Nunito Black" w:cs="Nunito Black" w:eastAsia="Nunito Black" w:hAnsi="Nunito Black"/>
          <w:b w:val="1"/>
          <w:bCs w:val="1"/>
          <w:color w:val="23282b"/>
          <w:sz w:val="24"/>
          <w:szCs w:val="24"/>
        </w:rPr>
      </w:pPr>
      <w:bookmarkStart w:colFirst="0" w:colLast="0" w:name="_m3i63vp9kzpt" w:id="9"/>
      <w:bookmarkEnd w:id="9"/>
      <w:r w:rsidDel="00000000" w:rsidR="00000000" w:rsidRPr="00000000">
        <w:rPr>
          <w:rtl w:val="0"/>
        </w:rPr>
        <w:t xml:space="preserve">Introduction</w:t>
      </w:r>
    </w:p>
    <w:p w:rsidR="00000000" w:rsidDel="00000000" w:rsidP="00000000" w:rsidRDefault="00000000" w:rsidRPr="00000000" w14:paraId="00000054">
      <w:pPr>
        <w:pStyle w:val="Heading2"/>
        <w:ind w:left="1440" w:firstLine="0"/>
        <w:rPr/>
      </w:pPr>
      <w:bookmarkStart w:colFirst="0" w:colLast="0" w:name="_h966nu7zg32f" w:id="10"/>
      <w:bookmarkEnd w:id="10"/>
      <w:r w:rsidDel="00000000" w:rsidR="00000000" w:rsidRPr="00000000">
        <w:rPr>
          <w:rtl w:val="0"/>
        </w:rPr>
        <w:t xml:space="preserve">1.1 Commitment to Fair and Transparent Conflict Management</w:t>
      </w:r>
    </w:p>
    <w:p w:rsidR="00000000" w:rsidDel="00000000" w:rsidP="00000000" w:rsidRDefault="00000000" w:rsidRPr="00000000" w14:paraId="00000055">
      <w:pPr>
        <w:ind w:left="1440" w:firstLine="0"/>
        <w:rPr/>
      </w:pPr>
      <w:r w:rsidDel="00000000" w:rsidR="00000000" w:rsidRPr="00000000">
        <w:rPr>
          <w:rtl w:val="0"/>
        </w:rPr>
        <w:t xml:space="preserve">[</w:t>
      </w:r>
      <w:r w:rsidDel="00000000" w:rsidR="00000000" w:rsidRPr="00000000">
        <w:rPr>
          <w:highlight w:val="yellow"/>
          <w:rtl w:val="0"/>
        </w:rPr>
        <w:t xml:space="preserve">Your Firm Name</w:t>
      </w:r>
      <w:r w:rsidDel="00000000" w:rsidR="00000000" w:rsidRPr="00000000">
        <w:rPr>
          <w:rtl w:val="0"/>
        </w:rPr>
        <w:t xml:space="preserve">] (hereinafter referred to as "the Firm") is committed to the identification, prevention, and effective management of conflicts of interest that may arise in the course of its business activities. As an FCA-regulated firm, it is essential to maintain robust governance controls to prevent conflicts of interest from compromising client outcomes, regulatory compliance, or market integrity.</w:t>
      </w:r>
    </w:p>
    <w:p w:rsidR="00000000" w:rsidDel="00000000" w:rsidP="00000000" w:rsidRDefault="00000000" w:rsidRPr="00000000" w14:paraId="00000056">
      <w:pPr>
        <w:ind w:left="1440" w:firstLine="0"/>
        <w:rPr/>
      </w:pPr>
      <w:r w:rsidDel="00000000" w:rsidR="00000000" w:rsidRPr="00000000">
        <w:rPr>
          <w:rtl w:val="0"/>
        </w:rPr>
        <w:t xml:space="preserve">If not adequately managed, conflicts of interest can lead to unfair client treatment, financial harm, regulatory breaches, or reputational damage. The Firm is dedicated to ensuring that all conflicts—whether actual, potential, or perceived—are handled in a manner that prioritises fair client outcomes, transparency, and regulatory compliance in line with SYSC 10 of the FCA Handbook and the FCA’s Principles for Businesses (Principle 8).</w:t>
      </w:r>
    </w:p>
    <w:p w:rsidR="00000000" w:rsidDel="00000000" w:rsidP="00000000" w:rsidRDefault="00000000" w:rsidRPr="00000000" w14:paraId="00000057">
      <w:pPr>
        <w:ind w:left="1440" w:firstLine="0"/>
        <w:rPr/>
      </w:pPr>
      <w:r w:rsidDel="00000000" w:rsidR="00000000" w:rsidRPr="00000000">
        <w:rPr>
          <w:rtl w:val="0"/>
        </w:rPr>
        <w:t xml:space="preserve">To achieve this, the Firm has implemented adequate organisational and administrative arrangements designed to:</w:t>
      </w:r>
    </w:p>
    <w:p w:rsidR="00000000" w:rsidDel="00000000" w:rsidP="00000000" w:rsidRDefault="00000000" w:rsidRPr="00000000" w14:paraId="00000058">
      <w:pPr>
        <w:numPr>
          <w:ilvl w:val="0"/>
          <w:numId w:val="10"/>
        </w:numPr>
        <w:spacing w:after="0" w:afterAutospacing="0"/>
        <w:ind w:left="2160" w:hanging="360"/>
        <w:rPr>
          <w:color w:val="000000"/>
        </w:rPr>
      </w:pPr>
      <w:r w:rsidDel="00000000" w:rsidR="00000000" w:rsidRPr="00000000">
        <w:rPr>
          <w:rtl w:val="0"/>
        </w:rPr>
        <w:t xml:space="preserve">Identify conflicts of interest early.</w:t>
      </w:r>
    </w:p>
    <w:p w:rsidR="00000000" w:rsidDel="00000000" w:rsidP="00000000" w:rsidRDefault="00000000" w:rsidRPr="00000000" w14:paraId="00000059">
      <w:pPr>
        <w:numPr>
          <w:ilvl w:val="0"/>
          <w:numId w:val="10"/>
        </w:numPr>
        <w:spacing w:after="0" w:afterAutospacing="0" w:before="0" w:beforeAutospacing="0"/>
        <w:ind w:left="2160" w:hanging="360"/>
        <w:rPr>
          <w:color w:val="000000"/>
        </w:rPr>
      </w:pPr>
      <w:r w:rsidDel="00000000" w:rsidR="00000000" w:rsidRPr="00000000">
        <w:rPr>
          <w:rtl w:val="0"/>
        </w:rPr>
        <w:t xml:space="preserve">Prevent conflicts, where possible, through strong governance controls.</w:t>
      </w:r>
    </w:p>
    <w:p w:rsidR="00000000" w:rsidDel="00000000" w:rsidP="00000000" w:rsidRDefault="00000000" w:rsidRPr="00000000" w14:paraId="0000005A">
      <w:pPr>
        <w:numPr>
          <w:ilvl w:val="0"/>
          <w:numId w:val="10"/>
        </w:numPr>
        <w:spacing w:after="0" w:afterAutospacing="0" w:before="0" w:beforeAutospacing="0"/>
        <w:ind w:left="2160" w:hanging="360"/>
        <w:rPr>
          <w:color w:val="000000"/>
        </w:rPr>
      </w:pPr>
      <w:r w:rsidDel="00000000" w:rsidR="00000000" w:rsidRPr="00000000">
        <w:rPr>
          <w:rtl w:val="0"/>
        </w:rPr>
        <w:t xml:space="preserve">Mitigate and manage conflicts where they cannot be avoided.</w:t>
      </w:r>
    </w:p>
    <w:p w:rsidR="00000000" w:rsidDel="00000000" w:rsidP="00000000" w:rsidRDefault="00000000" w:rsidRPr="00000000" w14:paraId="0000005B">
      <w:pPr>
        <w:numPr>
          <w:ilvl w:val="0"/>
          <w:numId w:val="10"/>
        </w:numPr>
        <w:spacing w:before="0" w:beforeAutospacing="0"/>
        <w:ind w:left="2160" w:hanging="360"/>
        <w:rPr>
          <w:color w:val="000000"/>
        </w:rPr>
      </w:pPr>
      <w:r w:rsidDel="00000000" w:rsidR="00000000" w:rsidRPr="00000000">
        <w:rPr>
          <w:rtl w:val="0"/>
        </w:rPr>
        <w:t xml:space="preserve">Disclose conflicts transparently when required, ensuring clients are fully informed.</w:t>
      </w:r>
    </w:p>
    <w:p w:rsidR="00000000" w:rsidDel="00000000" w:rsidP="00000000" w:rsidRDefault="00000000" w:rsidRPr="00000000" w14:paraId="0000005C">
      <w:pPr>
        <w:ind w:left="1440" w:firstLine="0"/>
        <w:rPr/>
      </w:pPr>
      <w:r w:rsidDel="00000000" w:rsidR="00000000" w:rsidRPr="00000000">
        <w:rPr>
          <w:rtl w:val="0"/>
        </w:rPr>
        <w:t xml:space="preserve">This policy applies across all levels of the organisation and is an integral part of the Firm’s corporate governance, risk management, and regulatory compliance framework.</w:t>
      </w:r>
    </w:p>
    <w:p w:rsidR="00000000" w:rsidDel="00000000" w:rsidP="00000000" w:rsidRDefault="00000000" w:rsidRPr="00000000" w14:paraId="0000005D">
      <w:pPr>
        <w:pStyle w:val="Heading2"/>
        <w:ind w:left="1440" w:firstLine="0"/>
        <w:rPr/>
      </w:pPr>
      <w:bookmarkStart w:colFirst="0" w:colLast="0" w:name="_7z5lj4d5f1g4" w:id="11"/>
      <w:bookmarkEnd w:id="11"/>
      <w:r w:rsidDel="00000000" w:rsidR="00000000" w:rsidRPr="00000000">
        <w:rPr>
          <w:rtl w:val="0"/>
        </w:rPr>
        <w:t xml:space="preserve">1.2 Purpose</w:t>
      </w:r>
    </w:p>
    <w:p w:rsidR="00000000" w:rsidDel="00000000" w:rsidP="00000000" w:rsidRDefault="00000000" w:rsidRPr="00000000" w14:paraId="0000005E">
      <w:pPr>
        <w:ind w:left="1440" w:firstLine="0"/>
        <w:rPr/>
      </w:pPr>
      <w:r w:rsidDel="00000000" w:rsidR="00000000" w:rsidRPr="00000000">
        <w:rPr>
          <w:rtl w:val="0"/>
        </w:rPr>
        <w:t xml:space="preserve">The purpose of this policy is to establish a clear and structured approach to identifying, mitigating, and managing conflicts of interest to ensure that:</w:t>
      </w:r>
    </w:p>
    <w:p w:rsidR="00000000" w:rsidDel="00000000" w:rsidP="00000000" w:rsidRDefault="00000000" w:rsidRPr="00000000" w14:paraId="0000005F">
      <w:pPr>
        <w:numPr>
          <w:ilvl w:val="0"/>
          <w:numId w:val="36"/>
        </w:numPr>
        <w:spacing w:after="0" w:afterAutospacing="0"/>
        <w:ind w:left="2160" w:hanging="360"/>
        <w:rPr>
          <w:color w:val="000000"/>
        </w:rPr>
      </w:pPr>
      <w:r w:rsidDel="00000000" w:rsidR="00000000" w:rsidRPr="00000000">
        <w:rPr>
          <w:rtl w:val="0"/>
        </w:rPr>
        <w:t xml:space="preserve">Clients are treated fairly and are not adversely affected by conflicts of interest.</w:t>
      </w:r>
    </w:p>
    <w:p w:rsidR="00000000" w:rsidDel="00000000" w:rsidP="00000000" w:rsidRDefault="00000000" w:rsidRPr="00000000" w14:paraId="00000060">
      <w:pPr>
        <w:numPr>
          <w:ilvl w:val="0"/>
          <w:numId w:val="36"/>
        </w:numPr>
        <w:spacing w:after="0" w:afterAutospacing="0" w:before="0" w:beforeAutospacing="0"/>
        <w:ind w:left="2160" w:hanging="360"/>
        <w:rPr>
          <w:color w:val="000000"/>
        </w:rPr>
      </w:pPr>
      <w:r w:rsidDel="00000000" w:rsidR="00000000" w:rsidRPr="00000000">
        <w:rPr>
          <w:rtl w:val="0"/>
        </w:rPr>
        <w:t xml:space="preserve">Regulatory requirements under SYSC 10 of the FCA Handbook are met.</w:t>
      </w:r>
    </w:p>
    <w:p w:rsidR="00000000" w:rsidDel="00000000" w:rsidP="00000000" w:rsidRDefault="00000000" w:rsidRPr="00000000" w14:paraId="00000061">
      <w:pPr>
        <w:numPr>
          <w:ilvl w:val="0"/>
          <w:numId w:val="36"/>
        </w:numPr>
        <w:spacing w:after="0" w:afterAutospacing="0" w:before="0" w:beforeAutospacing="0"/>
        <w:ind w:left="2160" w:hanging="360"/>
        <w:rPr>
          <w:color w:val="000000"/>
        </w:rPr>
      </w:pPr>
      <w:r w:rsidDel="00000000" w:rsidR="00000000" w:rsidRPr="00000000">
        <w:rPr>
          <w:rtl w:val="0"/>
        </w:rPr>
        <w:t xml:space="preserve">Business activities are conducted objectively and free from undue influence.</w:t>
      </w:r>
    </w:p>
    <w:p w:rsidR="00000000" w:rsidDel="00000000" w:rsidP="00000000" w:rsidRDefault="00000000" w:rsidRPr="00000000" w14:paraId="00000062">
      <w:pPr>
        <w:numPr>
          <w:ilvl w:val="0"/>
          <w:numId w:val="36"/>
        </w:numPr>
        <w:spacing w:after="0" w:afterAutospacing="0" w:before="0" w:beforeAutospacing="0"/>
        <w:ind w:left="2160" w:hanging="360"/>
        <w:rPr>
          <w:color w:val="000000"/>
        </w:rPr>
      </w:pPr>
      <w:r w:rsidDel="00000000" w:rsidR="00000000" w:rsidRPr="00000000">
        <w:rPr>
          <w:rtl w:val="0"/>
        </w:rPr>
        <w:t xml:space="preserve">Transparency and disclosure are provided where necessary.</w:t>
      </w:r>
    </w:p>
    <w:p w:rsidR="00000000" w:rsidDel="00000000" w:rsidP="00000000" w:rsidRDefault="00000000" w:rsidRPr="00000000" w14:paraId="00000063">
      <w:pPr>
        <w:numPr>
          <w:ilvl w:val="0"/>
          <w:numId w:val="36"/>
        </w:numPr>
        <w:spacing w:before="0" w:beforeAutospacing="0"/>
        <w:ind w:left="2160" w:hanging="360"/>
        <w:rPr>
          <w:color w:val="000000"/>
        </w:rPr>
      </w:pPr>
      <w:r w:rsidDel="00000000" w:rsidR="00000000" w:rsidRPr="00000000">
        <w:rPr>
          <w:rtl w:val="0"/>
        </w:rPr>
        <w:t xml:space="preserve">A culture of integrity and compliance is embedded throughout the Firm.</w:t>
      </w:r>
    </w:p>
    <w:p w:rsidR="00000000" w:rsidDel="00000000" w:rsidP="00000000" w:rsidRDefault="00000000" w:rsidRPr="00000000" w14:paraId="00000064">
      <w:pPr>
        <w:ind w:left="1440" w:firstLine="0"/>
        <w:rPr/>
      </w:pPr>
      <w:r w:rsidDel="00000000" w:rsidR="00000000" w:rsidRPr="00000000">
        <w:rPr>
          <w:rtl w:val="0"/>
        </w:rPr>
        <w:t xml:space="preserve">By implementing this policy, the Firm demonstrates its commitment to fair client treatment, regulatory compliance, and ethical business practices.</w:t>
      </w:r>
    </w:p>
    <w:p w:rsidR="00000000" w:rsidDel="00000000" w:rsidP="00000000" w:rsidRDefault="00000000" w:rsidRPr="00000000" w14:paraId="00000065">
      <w:pPr>
        <w:pStyle w:val="Heading2"/>
        <w:ind w:left="1440" w:firstLine="0"/>
        <w:rPr/>
      </w:pPr>
      <w:bookmarkStart w:colFirst="0" w:colLast="0" w:name="_3871bljo4owf" w:id="12"/>
      <w:bookmarkEnd w:id="12"/>
      <w:r w:rsidDel="00000000" w:rsidR="00000000" w:rsidRPr="00000000">
        <w:rPr>
          <w:rtl w:val="0"/>
        </w:rPr>
        <w:t xml:space="preserve">1.3 Scope</w:t>
      </w:r>
    </w:p>
    <w:p w:rsidR="00000000" w:rsidDel="00000000" w:rsidP="00000000" w:rsidRDefault="00000000" w:rsidRPr="00000000" w14:paraId="00000066">
      <w:pPr>
        <w:ind w:left="1440" w:firstLine="0"/>
        <w:rPr/>
      </w:pPr>
      <w:r w:rsidDel="00000000" w:rsidR="00000000" w:rsidRPr="00000000">
        <w:rPr>
          <w:rtl w:val="0"/>
        </w:rPr>
        <w:t xml:space="preserve">This policy applies to all individuals and entities associated with the Firm, including but not limited to:</w:t>
      </w:r>
    </w:p>
    <w:p w:rsidR="00000000" w:rsidDel="00000000" w:rsidP="00000000" w:rsidRDefault="00000000" w:rsidRPr="00000000" w14:paraId="00000067">
      <w:pPr>
        <w:numPr>
          <w:ilvl w:val="0"/>
          <w:numId w:val="5"/>
        </w:numPr>
        <w:spacing w:after="0" w:afterAutospacing="0"/>
        <w:ind w:left="2160" w:hanging="360"/>
        <w:rPr>
          <w:color w:val="000000"/>
        </w:rPr>
      </w:pPr>
      <w:r w:rsidDel="00000000" w:rsidR="00000000" w:rsidRPr="00000000">
        <w:rPr>
          <w:rtl w:val="0"/>
        </w:rPr>
        <w:t xml:space="preserve">Permanent, fixed-term, and temporary employees</w:t>
      </w:r>
    </w:p>
    <w:p w:rsidR="00000000" w:rsidDel="00000000" w:rsidP="00000000" w:rsidRDefault="00000000" w:rsidRPr="00000000" w14:paraId="00000068">
      <w:pPr>
        <w:numPr>
          <w:ilvl w:val="0"/>
          <w:numId w:val="5"/>
        </w:numPr>
        <w:spacing w:after="0" w:afterAutospacing="0" w:before="0" w:beforeAutospacing="0"/>
        <w:ind w:left="2160" w:hanging="360"/>
        <w:rPr>
          <w:color w:val="000000"/>
        </w:rPr>
      </w:pPr>
      <w:r w:rsidDel="00000000" w:rsidR="00000000" w:rsidRPr="00000000">
        <w:rPr>
          <w:rtl w:val="0"/>
        </w:rPr>
        <w:t xml:space="preserve">Directors and senior management</w:t>
      </w:r>
    </w:p>
    <w:p w:rsidR="00000000" w:rsidDel="00000000" w:rsidP="00000000" w:rsidRDefault="00000000" w:rsidRPr="00000000" w14:paraId="00000069">
      <w:pPr>
        <w:numPr>
          <w:ilvl w:val="0"/>
          <w:numId w:val="5"/>
        </w:numPr>
        <w:spacing w:after="0" w:afterAutospacing="0" w:before="0" w:beforeAutospacing="0"/>
        <w:ind w:left="2160" w:hanging="360"/>
        <w:rPr>
          <w:color w:val="000000"/>
        </w:rPr>
      </w:pPr>
      <w:r w:rsidDel="00000000" w:rsidR="00000000" w:rsidRPr="00000000">
        <w:rPr>
          <w:rtl w:val="0"/>
        </w:rPr>
        <w:t xml:space="preserve">Appointed representatives and tied agents</w:t>
      </w:r>
    </w:p>
    <w:p w:rsidR="00000000" w:rsidDel="00000000" w:rsidP="00000000" w:rsidRDefault="00000000" w:rsidRPr="00000000" w14:paraId="0000006A">
      <w:pPr>
        <w:numPr>
          <w:ilvl w:val="0"/>
          <w:numId w:val="5"/>
        </w:numPr>
        <w:spacing w:after="0" w:afterAutospacing="0" w:before="0" w:beforeAutospacing="0"/>
        <w:ind w:left="2160" w:hanging="360"/>
        <w:rPr>
          <w:color w:val="000000"/>
        </w:rPr>
      </w:pPr>
      <w:r w:rsidDel="00000000" w:rsidR="00000000" w:rsidRPr="00000000">
        <w:rPr>
          <w:rtl w:val="0"/>
        </w:rPr>
        <w:t xml:space="preserve">Third-party contractors and consultants</w:t>
      </w:r>
    </w:p>
    <w:p w:rsidR="00000000" w:rsidDel="00000000" w:rsidP="00000000" w:rsidRDefault="00000000" w:rsidRPr="00000000" w14:paraId="0000006B">
      <w:pPr>
        <w:numPr>
          <w:ilvl w:val="0"/>
          <w:numId w:val="5"/>
        </w:numPr>
        <w:spacing w:after="0" w:afterAutospacing="0" w:before="0" w:beforeAutospacing="0"/>
        <w:ind w:left="2160" w:hanging="360"/>
        <w:rPr>
          <w:color w:val="000000"/>
        </w:rPr>
      </w:pPr>
      <w:r w:rsidDel="00000000" w:rsidR="00000000" w:rsidRPr="00000000">
        <w:rPr>
          <w:rtl w:val="0"/>
        </w:rPr>
        <w:t xml:space="preserve">Agency workers, volunteers, and interns</w:t>
      </w:r>
    </w:p>
    <w:p w:rsidR="00000000" w:rsidDel="00000000" w:rsidP="00000000" w:rsidRDefault="00000000" w:rsidRPr="00000000" w14:paraId="0000006C">
      <w:pPr>
        <w:numPr>
          <w:ilvl w:val="0"/>
          <w:numId w:val="5"/>
        </w:numPr>
        <w:spacing w:before="0" w:beforeAutospacing="0"/>
        <w:ind w:left="2160" w:hanging="360"/>
        <w:rPr>
          <w:color w:val="000000"/>
        </w:rPr>
      </w:pPr>
      <w:r w:rsidDel="00000000" w:rsidR="00000000" w:rsidRPr="00000000">
        <w:rPr>
          <w:rtl w:val="0"/>
        </w:rPr>
        <w:t xml:space="preserve">External business partners involved in the provision of regulated services</w:t>
      </w:r>
    </w:p>
    <w:p w:rsidR="00000000" w:rsidDel="00000000" w:rsidP="00000000" w:rsidRDefault="00000000" w:rsidRPr="00000000" w14:paraId="0000006D">
      <w:pPr>
        <w:ind w:left="1440" w:firstLine="0"/>
        <w:rPr/>
      </w:pPr>
      <w:r w:rsidDel="00000000" w:rsidR="00000000" w:rsidRPr="00000000">
        <w:rPr>
          <w:rtl w:val="0"/>
        </w:rPr>
        <w:t xml:space="preserve">This policy applies to all business functions, financial transactions, client interactions, advisory services, and operational processes undertaken by the Firm, as well as to all jurisdictions in which it operates, ensuring a consistent approach to conflict management.</w:t>
      </w:r>
    </w:p>
    <w:p w:rsidR="00000000" w:rsidDel="00000000" w:rsidP="00000000" w:rsidRDefault="00000000" w:rsidRPr="00000000" w14:paraId="0000006E">
      <w:pPr>
        <w:ind w:left="1440" w:firstLine="0"/>
        <w:rPr/>
      </w:pPr>
      <w:r w:rsidDel="00000000" w:rsidR="00000000" w:rsidRPr="00000000">
        <w:rPr>
          <w:rtl w:val="0"/>
        </w:rPr>
        <w:t xml:space="preserve">Compliance with this policy is mandatory, and failure to adhere to its principles may result in disciplinary action and regulatory consequences.</w:t>
      </w:r>
    </w:p>
    <w:p w:rsidR="00000000" w:rsidDel="00000000" w:rsidP="00000000" w:rsidRDefault="00000000" w:rsidRPr="00000000" w14:paraId="0000006F">
      <w:pPr>
        <w:ind w:left="1440" w:firstLine="0"/>
        <w:rPr/>
      </w:pPr>
      <w:r w:rsidDel="00000000" w:rsidR="00000000" w:rsidRPr="00000000">
        <w:rPr>
          <w:rtl w:val="0"/>
        </w:rPr>
        <w:t xml:space="preserve">The Firm is committed to regularly reviewing and updating this policy to reflect changes in regulatory requirements, business activities, and emerging industry risks, ensuring its conflict management framework remains effective, proportionate, and aligned with best practices.</w:t>
      </w:r>
    </w:p>
    <w:p w:rsidR="00000000" w:rsidDel="00000000" w:rsidP="00000000" w:rsidRDefault="00000000" w:rsidRPr="00000000" w14:paraId="00000070">
      <w:pPr>
        <w:ind w:left="1440" w:firstLine="0"/>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pPr>
      <w:bookmarkStart w:colFirst="0" w:colLast="0" w:name="_ntmkhbftxemn" w:id="13"/>
      <w:bookmarkEnd w:id="13"/>
      <w:r w:rsidDel="00000000" w:rsidR="00000000" w:rsidRPr="00000000">
        <w:rPr>
          <w:rtl w:val="0"/>
        </w:rPr>
        <w:t xml:space="preserve">2. Defining Conflicts of Interest</w:t>
      </w:r>
    </w:p>
    <w:p w:rsidR="00000000" w:rsidDel="00000000" w:rsidP="00000000" w:rsidRDefault="00000000" w:rsidRPr="00000000" w14:paraId="00000072">
      <w:pPr>
        <w:pStyle w:val="Heading2"/>
        <w:ind w:left="1440" w:firstLine="0"/>
        <w:rPr/>
      </w:pPr>
      <w:bookmarkStart w:colFirst="0" w:colLast="0" w:name="_wrvlwsw8vkrq" w:id="14"/>
      <w:bookmarkEnd w:id="14"/>
      <w:r w:rsidDel="00000000" w:rsidR="00000000" w:rsidRPr="00000000">
        <w:rPr>
          <w:rtl w:val="0"/>
        </w:rPr>
        <w:t xml:space="preserve">2.1 What is a Conflict of Interest</w:t>
      </w:r>
    </w:p>
    <w:p w:rsidR="00000000" w:rsidDel="00000000" w:rsidP="00000000" w:rsidRDefault="00000000" w:rsidRPr="00000000" w14:paraId="00000073">
      <w:pPr>
        <w:ind w:left="1440" w:firstLine="0"/>
        <w:rPr/>
      </w:pPr>
      <w:r w:rsidDel="00000000" w:rsidR="00000000" w:rsidRPr="00000000">
        <w:rPr>
          <w:rtl w:val="0"/>
        </w:rPr>
        <w:t xml:space="preserve">A conflict of interest arises when the interests of the firm, its employees, or its clients are misaligned in a way that may compromise impartiality, objectivity, or fair treatment. Such conflicts may arise when providing consumer credit services, posing risks in which commercial, financial, or personal considerations could unduly influence decision-making.</w:t>
      </w:r>
    </w:p>
    <w:p w:rsidR="00000000" w:rsidDel="00000000" w:rsidP="00000000" w:rsidRDefault="00000000" w:rsidRPr="00000000" w14:paraId="00000074">
      <w:pPr>
        <w:ind w:left="1440" w:firstLine="0"/>
        <w:rPr/>
      </w:pPr>
      <w:r w:rsidDel="00000000" w:rsidR="00000000" w:rsidRPr="00000000">
        <w:rPr>
          <w:rtl w:val="0"/>
        </w:rPr>
        <w:t xml:space="preserve">Conflicts of interest may be:</w:t>
      </w:r>
    </w:p>
    <w:p w:rsidR="00000000" w:rsidDel="00000000" w:rsidP="00000000" w:rsidRDefault="00000000" w:rsidRPr="00000000" w14:paraId="00000075">
      <w:pPr>
        <w:numPr>
          <w:ilvl w:val="0"/>
          <w:numId w:val="39"/>
        </w:numPr>
        <w:spacing w:after="0" w:afterAutospacing="0"/>
        <w:ind w:left="2160" w:hanging="360"/>
        <w:rPr>
          <w:color w:val="000000"/>
        </w:rPr>
      </w:pPr>
      <w:r w:rsidDel="00000000" w:rsidR="00000000" w:rsidRPr="00000000">
        <w:rPr>
          <w:rtl w:val="0"/>
        </w:rPr>
        <w:t xml:space="preserve">Actual – where a conflict is currently present.</w:t>
      </w:r>
    </w:p>
    <w:p w:rsidR="00000000" w:rsidDel="00000000" w:rsidP="00000000" w:rsidRDefault="00000000" w:rsidRPr="00000000" w14:paraId="00000076">
      <w:pPr>
        <w:numPr>
          <w:ilvl w:val="0"/>
          <w:numId w:val="39"/>
        </w:numPr>
        <w:spacing w:after="0" w:afterAutospacing="0" w:before="0" w:beforeAutospacing="0"/>
        <w:ind w:left="2160" w:hanging="360"/>
        <w:rPr>
          <w:color w:val="000000"/>
        </w:rPr>
      </w:pPr>
      <w:r w:rsidDel="00000000" w:rsidR="00000000" w:rsidRPr="00000000">
        <w:rPr>
          <w:rtl w:val="0"/>
        </w:rPr>
        <w:t xml:space="preserve">Potential – where a conflict is likely to arise in the future.</w:t>
      </w:r>
    </w:p>
    <w:p w:rsidR="00000000" w:rsidDel="00000000" w:rsidP="00000000" w:rsidRDefault="00000000" w:rsidRPr="00000000" w14:paraId="00000077">
      <w:pPr>
        <w:numPr>
          <w:ilvl w:val="0"/>
          <w:numId w:val="39"/>
        </w:numPr>
        <w:spacing w:before="0" w:beforeAutospacing="0"/>
        <w:ind w:left="2160" w:hanging="360"/>
        <w:rPr>
          <w:color w:val="000000"/>
        </w:rPr>
      </w:pPr>
      <w:r w:rsidDel="00000000" w:rsidR="00000000" w:rsidRPr="00000000">
        <w:rPr>
          <w:rtl w:val="0"/>
        </w:rPr>
        <w:t xml:space="preserve">Perceived – where there is a risk that a third party may believe a conflict exists, even if it does not.</w:t>
      </w:r>
    </w:p>
    <w:p w:rsidR="00000000" w:rsidDel="00000000" w:rsidP="00000000" w:rsidRDefault="00000000" w:rsidRPr="00000000" w14:paraId="00000078">
      <w:pPr>
        <w:ind w:left="1440" w:firstLine="0"/>
        <w:rPr/>
      </w:pPr>
      <w:r w:rsidDel="00000000" w:rsidR="00000000" w:rsidRPr="00000000">
        <w:rPr>
          <w:rtl w:val="0"/>
        </w:rPr>
        <w:t xml:space="preserve">Consumer credit firms must identify, document, and mitigate conflicts to ensure client interests are not compromised. The FCA requires firms to take reasonable steps to prevent conflicts from causing material risk or harm to customers and to implement controls where conflicts cannot be eliminated.</w:t>
      </w:r>
    </w:p>
    <w:p w:rsidR="00000000" w:rsidDel="00000000" w:rsidP="00000000" w:rsidRDefault="00000000" w:rsidRPr="00000000" w14:paraId="00000079">
      <w:pPr>
        <w:ind w:left="1440" w:firstLine="0"/>
        <w:rPr/>
      </w:pPr>
      <w:r w:rsidDel="00000000" w:rsidR="00000000" w:rsidRPr="00000000">
        <w:rPr>
          <w:rtl w:val="0"/>
        </w:rPr>
        <w:t xml:space="preserve">Examples of conflicts include:</w:t>
      </w:r>
    </w:p>
    <w:p w:rsidR="00000000" w:rsidDel="00000000" w:rsidP="00000000" w:rsidRDefault="00000000" w:rsidRPr="00000000" w14:paraId="0000007A">
      <w:pPr>
        <w:numPr>
          <w:ilvl w:val="0"/>
          <w:numId w:val="11"/>
        </w:numPr>
        <w:spacing w:after="0" w:afterAutospacing="0"/>
        <w:ind w:left="2160" w:hanging="360"/>
        <w:rPr>
          <w:color w:val="000000"/>
        </w:rPr>
      </w:pPr>
      <w:r w:rsidDel="00000000" w:rsidR="00000000" w:rsidRPr="00000000">
        <w:rPr>
          <w:rtl w:val="0"/>
        </w:rPr>
        <w:t xml:space="preserve">The firm or an employee benefits financially at the customer's expense.</w:t>
      </w:r>
    </w:p>
    <w:p w:rsidR="00000000" w:rsidDel="00000000" w:rsidP="00000000" w:rsidRDefault="00000000" w:rsidRPr="00000000" w14:paraId="0000007B">
      <w:pPr>
        <w:numPr>
          <w:ilvl w:val="0"/>
          <w:numId w:val="11"/>
        </w:numPr>
        <w:spacing w:after="0" w:afterAutospacing="0" w:before="0" w:beforeAutospacing="0"/>
        <w:ind w:left="2160" w:hanging="360"/>
        <w:rPr>
          <w:color w:val="000000"/>
        </w:rPr>
      </w:pPr>
      <w:r w:rsidDel="00000000" w:rsidR="00000000" w:rsidRPr="00000000">
        <w:rPr>
          <w:rtl w:val="0"/>
        </w:rPr>
        <w:t xml:space="preserve">Incentive structures that encourage staff to prioritise sales volume over customer affordability and suitability.</w:t>
      </w:r>
    </w:p>
    <w:p w:rsidR="00000000" w:rsidDel="00000000" w:rsidP="00000000" w:rsidRDefault="00000000" w:rsidRPr="00000000" w14:paraId="0000007C">
      <w:pPr>
        <w:numPr>
          <w:ilvl w:val="0"/>
          <w:numId w:val="11"/>
        </w:numPr>
        <w:spacing w:after="0" w:afterAutospacing="0" w:before="0" w:beforeAutospacing="0"/>
        <w:ind w:left="2160" w:hanging="360"/>
        <w:rPr>
          <w:color w:val="000000"/>
        </w:rPr>
      </w:pPr>
      <w:r w:rsidDel="00000000" w:rsidR="00000000" w:rsidRPr="00000000">
        <w:rPr>
          <w:rtl w:val="0"/>
        </w:rPr>
        <w:t xml:space="preserve">Preferential treatment of specific customers, lenders, or third parties due to business relationships or commissions.</w:t>
      </w:r>
    </w:p>
    <w:p w:rsidR="00000000" w:rsidDel="00000000" w:rsidP="00000000" w:rsidRDefault="00000000" w:rsidRPr="00000000" w14:paraId="0000007D">
      <w:pPr>
        <w:numPr>
          <w:ilvl w:val="0"/>
          <w:numId w:val="11"/>
        </w:numPr>
        <w:spacing w:before="0" w:beforeAutospacing="0"/>
        <w:ind w:left="2160" w:hanging="360"/>
        <w:rPr>
          <w:color w:val="000000"/>
        </w:rPr>
      </w:pPr>
      <w:r w:rsidDel="00000000" w:rsidR="00000000" w:rsidRPr="00000000">
        <w:rPr>
          <w:rtl w:val="0"/>
        </w:rPr>
        <w:t xml:space="preserve">Employees may have personal or financial interests in third-party firms with which the company does business.</w:t>
      </w:r>
    </w:p>
    <w:p w:rsidR="00000000" w:rsidDel="00000000" w:rsidP="00000000" w:rsidRDefault="00000000" w:rsidRPr="00000000" w14:paraId="0000007E">
      <w:pPr>
        <w:ind w:left="1440" w:firstLine="0"/>
        <w:rPr/>
      </w:pPr>
      <w:r w:rsidDel="00000000" w:rsidR="00000000" w:rsidRPr="00000000">
        <w:rPr>
          <w:rtl w:val="0"/>
        </w:rPr>
        <w:t xml:space="preserve">A robust approach to identifying and managing conflicts is essential to maintaining regulatory compliance, upholding ethical standards, and ensuring the fair treatment of customers.</w:t>
      </w:r>
    </w:p>
    <w:p w:rsidR="00000000" w:rsidDel="00000000" w:rsidP="00000000" w:rsidRDefault="00000000" w:rsidRPr="00000000" w14:paraId="0000007F">
      <w:pPr>
        <w:pStyle w:val="Heading2"/>
        <w:ind w:left="1440" w:firstLine="0"/>
        <w:rPr/>
      </w:pPr>
      <w:bookmarkStart w:colFirst="0" w:colLast="0" w:name="_ja5rd0zexj1x" w:id="15"/>
      <w:bookmarkEnd w:id="15"/>
      <w:r w:rsidDel="00000000" w:rsidR="00000000" w:rsidRPr="00000000">
        <w:rPr>
          <w:rtl w:val="0"/>
        </w:rPr>
        <w:t xml:space="preserve">2.2 Regulatory Obligations under SYSC 10 and Consumer Credit Regulations</w:t>
      </w:r>
    </w:p>
    <w:p w:rsidR="00000000" w:rsidDel="00000000" w:rsidP="00000000" w:rsidRDefault="00000000" w:rsidRPr="00000000" w14:paraId="00000080">
      <w:pPr>
        <w:ind w:left="1440" w:firstLine="0"/>
        <w:rPr/>
      </w:pPr>
      <w:r w:rsidDel="00000000" w:rsidR="00000000" w:rsidRPr="00000000">
        <w:rPr>
          <w:rtl w:val="0"/>
        </w:rPr>
        <w:t xml:space="preserve">SYSC 10 of the FCA Handbook outlines the regulatory requirements for managing conflicts of interest. Under SYSC 10.1.7R, firms must:</w:t>
      </w:r>
    </w:p>
    <w:p w:rsidR="00000000" w:rsidDel="00000000" w:rsidP="00000000" w:rsidRDefault="00000000" w:rsidRPr="00000000" w14:paraId="00000081">
      <w:pPr>
        <w:numPr>
          <w:ilvl w:val="0"/>
          <w:numId w:val="13"/>
        </w:numPr>
        <w:spacing w:after="0" w:afterAutospacing="0"/>
        <w:ind w:left="2160" w:hanging="360"/>
        <w:rPr>
          <w:color w:val="000000"/>
        </w:rPr>
      </w:pPr>
      <w:r w:rsidDel="00000000" w:rsidR="00000000" w:rsidRPr="00000000">
        <w:rPr>
          <w:rtl w:val="0"/>
        </w:rPr>
        <w:t xml:space="preserve">Take all reasonable steps to identify conflicts of interest that may arise between:</w:t>
      </w:r>
    </w:p>
    <w:p w:rsidR="00000000" w:rsidDel="00000000" w:rsidP="00000000" w:rsidRDefault="00000000" w:rsidRPr="00000000" w14:paraId="00000082">
      <w:pPr>
        <w:numPr>
          <w:ilvl w:val="1"/>
          <w:numId w:val="13"/>
        </w:numPr>
        <w:spacing w:after="0" w:afterAutospacing="0" w:before="0" w:beforeAutospacing="0"/>
        <w:ind w:left="2880" w:hanging="360"/>
        <w:rPr>
          <w:color w:val="000000"/>
        </w:rPr>
      </w:pPr>
      <w:r w:rsidDel="00000000" w:rsidR="00000000" w:rsidRPr="00000000">
        <w:rPr>
          <w:rtl w:val="0"/>
        </w:rPr>
        <w:t xml:space="preserve">The firm and a client.</w:t>
      </w:r>
    </w:p>
    <w:p w:rsidR="00000000" w:rsidDel="00000000" w:rsidP="00000000" w:rsidRDefault="00000000" w:rsidRPr="00000000" w14:paraId="00000083">
      <w:pPr>
        <w:numPr>
          <w:ilvl w:val="1"/>
          <w:numId w:val="13"/>
        </w:numPr>
        <w:spacing w:after="0" w:afterAutospacing="0" w:before="0" w:beforeAutospacing="0"/>
        <w:ind w:left="2880" w:hanging="360"/>
        <w:rPr>
          <w:color w:val="000000"/>
        </w:rPr>
      </w:pPr>
      <w:r w:rsidDel="00000000" w:rsidR="00000000" w:rsidRPr="00000000">
        <w:rPr>
          <w:rtl w:val="0"/>
        </w:rPr>
        <w:t xml:space="preserve">One client and another client.</w:t>
      </w:r>
    </w:p>
    <w:p w:rsidR="00000000" w:rsidDel="00000000" w:rsidP="00000000" w:rsidRDefault="00000000" w:rsidRPr="00000000" w14:paraId="00000084">
      <w:pPr>
        <w:numPr>
          <w:ilvl w:val="0"/>
          <w:numId w:val="13"/>
        </w:numPr>
        <w:spacing w:after="0" w:afterAutospacing="0" w:before="0" w:beforeAutospacing="0"/>
        <w:ind w:left="2160" w:hanging="360"/>
        <w:rPr>
          <w:color w:val="000000"/>
        </w:rPr>
      </w:pPr>
      <w:r w:rsidDel="00000000" w:rsidR="00000000" w:rsidRPr="00000000">
        <w:rPr>
          <w:rtl w:val="0"/>
        </w:rPr>
        <w:t xml:space="preserve">Maintain and operate effective procedures to prevent conflicts from adversely impacting customers.</w:t>
      </w:r>
    </w:p>
    <w:p w:rsidR="00000000" w:rsidDel="00000000" w:rsidP="00000000" w:rsidRDefault="00000000" w:rsidRPr="00000000" w14:paraId="00000085">
      <w:pPr>
        <w:numPr>
          <w:ilvl w:val="0"/>
          <w:numId w:val="13"/>
        </w:numPr>
        <w:spacing w:before="0" w:beforeAutospacing="0"/>
        <w:ind w:left="2160" w:hanging="360"/>
        <w:rPr>
          <w:color w:val="000000"/>
        </w:rPr>
      </w:pPr>
      <w:r w:rsidDel="00000000" w:rsidR="00000000" w:rsidRPr="00000000">
        <w:rPr>
          <w:rtl w:val="0"/>
        </w:rPr>
        <w:t xml:space="preserve">Disclose conflicts to customers when unavoidable, ensuring transparency and accountability.</w:t>
      </w:r>
    </w:p>
    <w:p w:rsidR="00000000" w:rsidDel="00000000" w:rsidP="00000000" w:rsidRDefault="00000000" w:rsidRPr="00000000" w14:paraId="00000086">
      <w:pPr>
        <w:ind w:left="1440" w:firstLine="0"/>
        <w:rPr/>
      </w:pPr>
      <w:r w:rsidDel="00000000" w:rsidR="00000000" w:rsidRPr="00000000">
        <w:rPr>
          <w:rtl w:val="0"/>
        </w:rPr>
        <w:t xml:space="preserve">For consumer credit firms, the FCA’s Principles for Businesses (PRIN) also apply, mainly:</w:t>
      </w:r>
    </w:p>
    <w:p w:rsidR="00000000" w:rsidDel="00000000" w:rsidP="00000000" w:rsidRDefault="00000000" w:rsidRPr="00000000" w14:paraId="00000087">
      <w:pPr>
        <w:numPr>
          <w:ilvl w:val="0"/>
          <w:numId w:val="12"/>
        </w:numPr>
        <w:spacing w:after="0" w:afterAutospacing="0"/>
        <w:ind w:left="2160" w:hanging="360"/>
        <w:rPr>
          <w:color w:val="000000"/>
        </w:rPr>
      </w:pPr>
      <w:r w:rsidDel="00000000" w:rsidR="00000000" w:rsidRPr="00000000">
        <w:rPr>
          <w:rtl w:val="0"/>
        </w:rPr>
        <w:t xml:space="preserve">Principle 6 – Firms must pay due regard to customers’ interests and treat them fairly.</w:t>
      </w:r>
    </w:p>
    <w:p w:rsidR="00000000" w:rsidDel="00000000" w:rsidP="00000000" w:rsidRDefault="00000000" w:rsidRPr="00000000" w14:paraId="00000088">
      <w:pPr>
        <w:numPr>
          <w:ilvl w:val="0"/>
          <w:numId w:val="12"/>
        </w:numPr>
        <w:spacing w:before="0" w:beforeAutospacing="0"/>
        <w:ind w:left="2160" w:hanging="360"/>
        <w:rPr>
          <w:color w:val="000000"/>
        </w:rPr>
      </w:pPr>
      <w:r w:rsidDel="00000000" w:rsidR="00000000" w:rsidRPr="00000000">
        <w:rPr>
          <w:rtl w:val="0"/>
        </w:rPr>
        <w:t xml:space="preserve">Principle 8—Firms must manage conflicts of interest fairly between themselves and their customers and different customers.</w:t>
      </w:r>
    </w:p>
    <w:p w:rsidR="00000000" w:rsidDel="00000000" w:rsidP="00000000" w:rsidRDefault="00000000" w:rsidRPr="00000000" w14:paraId="00000089">
      <w:pPr>
        <w:ind w:left="1440" w:firstLine="0"/>
        <w:rPr/>
      </w:pPr>
      <w:r w:rsidDel="00000000" w:rsidR="00000000" w:rsidRPr="00000000">
        <w:rPr>
          <w:rtl w:val="0"/>
        </w:rPr>
        <w:t xml:space="preserve">Additionally, firms must ensure compliance with CONC (Consumer Credit Sourcebook), which requires:</w:t>
      </w:r>
    </w:p>
    <w:p w:rsidR="00000000" w:rsidDel="00000000" w:rsidP="00000000" w:rsidRDefault="00000000" w:rsidRPr="00000000" w14:paraId="0000008A">
      <w:pPr>
        <w:numPr>
          <w:ilvl w:val="0"/>
          <w:numId w:val="8"/>
        </w:numPr>
        <w:spacing w:after="0" w:afterAutospacing="0"/>
        <w:ind w:left="2160" w:hanging="360"/>
        <w:rPr>
          <w:color w:val="000000"/>
        </w:rPr>
      </w:pPr>
      <w:r w:rsidDel="00000000" w:rsidR="00000000" w:rsidRPr="00000000">
        <w:rPr>
          <w:rtl w:val="0"/>
        </w:rPr>
        <w:t xml:space="preserve">Fair treatment of customers in lending decisions (e.g., not pushing unaffordable credit for financial gain).</w:t>
      </w:r>
    </w:p>
    <w:p w:rsidR="00000000" w:rsidDel="00000000" w:rsidP="00000000" w:rsidRDefault="00000000" w:rsidRPr="00000000" w14:paraId="0000008B">
      <w:pPr>
        <w:numPr>
          <w:ilvl w:val="0"/>
          <w:numId w:val="8"/>
        </w:numPr>
        <w:spacing w:after="0" w:afterAutospacing="0" w:before="0" w:beforeAutospacing="0"/>
        <w:ind w:left="2160" w:hanging="360"/>
        <w:rPr>
          <w:color w:val="000000"/>
        </w:rPr>
      </w:pPr>
      <w:r w:rsidDel="00000000" w:rsidR="00000000" w:rsidRPr="00000000">
        <w:rPr>
          <w:rtl w:val="0"/>
        </w:rPr>
        <w:t xml:space="preserve">Appropriate incentive structures that do not encourage conflicts of interest (e.g., excessive commission-based pay for credit brokers).</w:t>
      </w:r>
    </w:p>
    <w:p w:rsidR="00000000" w:rsidDel="00000000" w:rsidP="00000000" w:rsidRDefault="00000000" w:rsidRPr="00000000" w14:paraId="0000008C">
      <w:pPr>
        <w:numPr>
          <w:ilvl w:val="0"/>
          <w:numId w:val="8"/>
        </w:numPr>
        <w:spacing w:before="0" w:beforeAutospacing="0"/>
        <w:ind w:left="2160" w:hanging="360"/>
        <w:rPr>
          <w:color w:val="000000"/>
        </w:rPr>
      </w:pPr>
      <w:r w:rsidDel="00000000" w:rsidR="00000000" w:rsidRPr="00000000">
        <w:rPr>
          <w:rtl w:val="0"/>
        </w:rPr>
        <w:t xml:space="preserve">Transparent disclosure of fees, commissions, and financial arrangements with third parties.</w:t>
      </w:r>
    </w:p>
    <w:p w:rsidR="00000000" w:rsidDel="00000000" w:rsidP="00000000" w:rsidRDefault="00000000" w:rsidRPr="00000000" w14:paraId="0000008D">
      <w:pPr>
        <w:ind w:left="1440" w:firstLine="0"/>
        <w:rPr/>
      </w:pPr>
      <w:r w:rsidDel="00000000" w:rsidR="00000000" w:rsidRPr="00000000">
        <w:rPr>
          <w:rtl w:val="0"/>
        </w:rPr>
        <w:t xml:space="preserve">The FCA takes a risk-based approach to supervising consumer credit firms, expecting them to embed a proactive culture of conflict identification, disclosure, and mitigating conflicts. Failure to meet these obligations may result in enforcement action, financial penalties, or restrictions on business activities.</w:t>
      </w:r>
    </w:p>
    <w:p w:rsidR="00000000" w:rsidDel="00000000" w:rsidP="00000000" w:rsidRDefault="00000000" w:rsidRPr="00000000" w14:paraId="0000008E">
      <w:pPr>
        <w:pStyle w:val="Heading2"/>
        <w:ind w:left="1440" w:firstLine="0"/>
        <w:rPr/>
      </w:pPr>
      <w:bookmarkStart w:colFirst="0" w:colLast="0" w:name="_odft8pr77gzh" w:id="16"/>
      <w:bookmarkEnd w:id="16"/>
      <w:r w:rsidDel="00000000" w:rsidR="00000000" w:rsidRPr="00000000">
        <w:rPr>
          <w:rtl w:val="0"/>
        </w:rPr>
        <w:t xml:space="preserve">2.3 Types of Conflicts Relevant to the Firm</w:t>
      </w:r>
    </w:p>
    <w:p w:rsidR="00000000" w:rsidDel="00000000" w:rsidP="00000000" w:rsidRDefault="00000000" w:rsidRPr="00000000" w14:paraId="0000008F">
      <w:pPr>
        <w:ind w:left="1440" w:firstLine="0"/>
        <w:rPr/>
      </w:pPr>
      <w:r w:rsidDel="00000000" w:rsidR="00000000" w:rsidRPr="00000000">
        <w:rPr>
          <w:rtl w:val="0"/>
        </w:rPr>
        <w:t xml:space="preserve">Conflicts of interest in a consumer credit firm can arise in various ways. The following are key types of conflicts relevant to firms operating in this sector:</w:t>
      </w:r>
    </w:p>
    <w:p w:rsidR="00000000" w:rsidDel="00000000" w:rsidP="00000000" w:rsidRDefault="00000000" w:rsidRPr="00000000" w14:paraId="00000090">
      <w:pPr>
        <w:ind w:left="1440" w:firstLine="0"/>
        <w:rPr/>
      </w:pPr>
      <w:r w:rsidDel="00000000" w:rsidR="00000000" w:rsidRPr="00000000">
        <w:rPr>
          <w:rtl w:val="0"/>
        </w:rPr>
        <w:t xml:space="preserve">1. Firm vs. Client Conflicts</w:t>
      </w:r>
    </w:p>
    <w:p w:rsidR="00000000" w:rsidDel="00000000" w:rsidP="00000000" w:rsidRDefault="00000000" w:rsidRPr="00000000" w14:paraId="00000091">
      <w:pPr>
        <w:numPr>
          <w:ilvl w:val="0"/>
          <w:numId w:val="24"/>
        </w:numPr>
        <w:spacing w:after="0" w:afterAutospacing="0"/>
        <w:ind w:left="2160" w:hanging="360"/>
        <w:rPr>
          <w:color w:val="000000"/>
        </w:rPr>
      </w:pPr>
      <w:r w:rsidDel="00000000" w:rsidR="00000000" w:rsidRPr="00000000">
        <w:rPr>
          <w:rtl w:val="0"/>
        </w:rPr>
        <w:t xml:space="preserve">Incentivised Lending Decisions: The firm profits by granting credit that may not be in the client’s best interest, leading to potential consumer harm.</w:t>
      </w:r>
    </w:p>
    <w:p w:rsidR="00000000" w:rsidDel="00000000" w:rsidP="00000000" w:rsidRDefault="00000000" w:rsidRPr="00000000" w14:paraId="00000092">
      <w:pPr>
        <w:numPr>
          <w:ilvl w:val="0"/>
          <w:numId w:val="24"/>
        </w:numPr>
        <w:spacing w:after="0" w:afterAutospacing="0" w:before="0" w:beforeAutospacing="0"/>
        <w:ind w:left="2160" w:hanging="360"/>
        <w:rPr>
          <w:color w:val="000000"/>
        </w:rPr>
      </w:pPr>
      <w:r w:rsidDel="00000000" w:rsidR="00000000" w:rsidRPr="00000000">
        <w:rPr>
          <w:rtl w:val="0"/>
        </w:rPr>
        <w:t xml:space="preserve">Hidden Fees and Charges: The firm earns revenue through undisclosed fees or commissions that disadvantage the customer.</w:t>
      </w:r>
    </w:p>
    <w:p w:rsidR="00000000" w:rsidDel="00000000" w:rsidP="00000000" w:rsidRDefault="00000000" w:rsidRPr="00000000" w14:paraId="00000093">
      <w:pPr>
        <w:numPr>
          <w:ilvl w:val="0"/>
          <w:numId w:val="24"/>
        </w:numPr>
        <w:spacing w:before="0" w:beforeAutospacing="0"/>
        <w:ind w:left="2160" w:hanging="360"/>
        <w:rPr>
          <w:color w:val="000000"/>
        </w:rPr>
      </w:pPr>
      <w:r w:rsidDel="00000000" w:rsidR="00000000" w:rsidRPr="00000000">
        <w:rPr>
          <w:rtl w:val="0"/>
        </w:rPr>
        <w:t xml:space="preserve">Preferential Treatment: The firm prioritises high-value customers or those who generate greater revenue over others.</w:t>
      </w:r>
    </w:p>
    <w:p w:rsidR="00000000" w:rsidDel="00000000" w:rsidP="00000000" w:rsidRDefault="00000000" w:rsidRPr="00000000" w14:paraId="00000094">
      <w:pPr>
        <w:ind w:left="1440" w:firstLine="0"/>
        <w:rPr/>
      </w:pPr>
      <w:r w:rsidDel="00000000" w:rsidR="00000000" w:rsidRPr="00000000">
        <w:rPr>
          <w:rtl w:val="0"/>
        </w:rPr>
        <w:t xml:space="preserve">2. Client vs. Client Conflicts</w:t>
      </w:r>
    </w:p>
    <w:p w:rsidR="00000000" w:rsidDel="00000000" w:rsidP="00000000" w:rsidRDefault="00000000" w:rsidRPr="00000000" w14:paraId="00000095">
      <w:pPr>
        <w:numPr>
          <w:ilvl w:val="0"/>
          <w:numId w:val="19"/>
        </w:numPr>
        <w:spacing w:after="0" w:afterAutospacing="0"/>
        <w:ind w:left="2160" w:hanging="360"/>
        <w:rPr>
          <w:color w:val="000000"/>
        </w:rPr>
      </w:pPr>
      <w:r w:rsidDel="00000000" w:rsidR="00000000" w:rsidRPr="00000000">
        <w:rPr>
          <w:rtl w:val="0"/>
        </w:rPr>
        <w:t xml:space="preserve">Differential Credit Terms: Offering more favourable credit terms to one customer over another without clear justification.</w:t>
      </w:r>
    </w:p>
    <w:p w:rsidR="00000000" w:rsidDel="00000000" w:rsidP="00000000" w:rsidRDefault="00000000" w:rsidRPr="00000000" w14:paraId="00000096">
      <w:pPr>
        <w:numPr>
          <w:ilvl w:val="0"/>
          <w:numId w:val="19"/>
        </w:numPr>
        <w:spacing w:after="0" w:afterAutospacing="0" w:before="0" w:beforeAutospacing="0"/>
        <w:ind w:left="2160" w:hanging="360"/>
        <w:rPr>
          <w:color w:val="000000"/>
        </w:rPr>
      </w:pPr>
      <w:r w:rsidDel="00000000" w:rsidR="00000000" w:rsidRPr="00000000">
        <w:rPr>
          <w:rtl w:val="0"/>
        </w:rPr>
        <w:t xml:space="preserve">Limited Access to Products: Giving preferential access to certain credit products based on commercial relationships rather than suitability.</w:t>
      </w:r>
    </w:p>
    <w:p w:rsidR="00000000" w:rsidDel="00000000" w:rsidP="00000000" w:rsidRDefault="00000000" w:rsidRPr="00000000" w14:paraId="00000097">
      <w:pPr>
        <w:numPr>
          <w:ilvl w:val="0"/>
          <w:numId w:val="19"/>
        </w:numPr>
        <w:spacing w:before="0" w:beforeAutospacing="0"/>
        <w:ind w:left="2160" w:hanging="360"/>
        <w:rPr>
          <w:color w:val="000000"/>
        </w:rPr>
      </w:pPr>
      <w:r w:rsidDel="00000000" w:rsidR="00000000" w:rsidRPr="00000000">
        <w:rPr>
          <w:rtl w:val="0"/>
        </w:rPr>
        <w:t xml:space="preserve">Bias in Debt Collection: Prioritising certain debts for collection based on financial incentives rather than customer circumstances.</w:t>
      </w:r>
    </w:p>
    <w:p w:rsidR="00000000" w:rsidDel="00000000" w:rsidP="00000000" w:rsidRDefault="00000000" w:rsidRPr="00000000" w14:paraId="00000098">
      <w:pPr>
        <w:ind w:left="1440" w:firstLine="0"/>
        <w:rPr/>
      </w:pPr>
      <w:r w:rsidDel="00000000" w:rsidR="00000000" w:rsidRPr="00000000">
        <w:rPr>
          <w:rtl w:val="0"/>
        </w:rPr>
        <w:t xml:space="preserve">3. Employee Conflicts</w:t>
      </w:r>
    </w:p>
    <w:p w:rsidR="00000000" w:rsidDel="00000000" w:rsidP="00000000" w:rsidRDefault="00000000" w:rsidRPr="00000000" w14:paraId="00000099">
      <w:pPr>
        <w:numPr>
          <w:ilvl w:val="0"/>
          <w:numId w:val="23"/>
        </w:numPr>
        <w:spacing w:after="0" w:afterAutospacing="0"/>
        <w:ind w:left="2160" w:hanging="360"/>
        <w:rPr>
          <w:color w:val="000000"/>
        </w:rPr>
      </w:pPr>
      <w:r w:rsidDel="00000000" w:rsidR="00000000" w:rsidRPr="00000000">
        <w:rPr>
          <w:rtl w:val="0"/>
        </w:rPr>
        <w:t xml:space="preserve">Personal Financial Interests: Employees have stakes in firms with which the business transacts, potentially biasing decision-making.</w:t>
      </w:r>
    </w:p>
    <w:p w:rsidR="00000000" w:rsidDel="00000000" w:rsidP="00000000" w:rsidRDefault="00000000" w:rsidRPr="00000000" w14:paraId="0000009A">
      <w:pPr>
        <w:numPr>
          <w:ilvl w:val="0"/>
          <w:numId w:val="23"/>
        </w:numPr>
        <w:spacing w:after="0" w:afterAutospacing="0" w:before="0" w:beforeAutospacing="0"/>
        <w:ind w:left="2160" w:hanging="360"/>
        <w:rPr>
          <w:color w:val="000000"/>
        </w:rPr>
      </w:pPr>
      <w:r w:rsidDel="00000000" w:rsidR="00000000" w:rsidRPr="00000000">
        <w:rPr>
          <w:rtl w:val="0"/>
        </w:rPr>
        <w:t xml:space="preserve">Gifts, Hospitality, and Inducements: Employees receiving benefits from third parties that could influence their judgment.</w:t>
      </w:r>
    </w:p>
    <w:p w:rsidR="00000000" w:rsidDel="00000000" w:rsidP="00000000" w:rsidRDefault="00000000" w:rsidRPr="00000000" w14:paraId="0000009B">
      <w:pPr>
        <w:numPr>
          <w:ilvl w:val="0"/>
          <w:numId w:val="23"/>
        </w:numPr>
        <w:spacing w:before="0" w:beforeAutospacing="0"/>
        <w:ind w:left="2160" w:hanging="360"/>
        <w:rPr>
          <w:color w:val="000000"/>
        </w:rPr>
      </w:pPr>
      <w:r w:rsidDel="00000000" w:rsidR="00000000" w:rsidRPr="00000000">
        <w:rPr>
          <w:rtl w:val="0"/>
        </w:rPr>
        <w:t xml:space="preserve">Performance-Based Pay Structures: Staff remuneration models that incentivise pushing credit without adequate customer affordability checks.</w:t>
      </w:r>
    </w:p>
    <w:p w:rsidR="00000000" w:rsidDel="00000000" w:rsidP="00000000" w:rsidRDefault="00000000" w:rsidRPr="00000000" w14:paraId="0000009C">
      <w:pPr>
        <w:ind w:left="1440" w:firstLine="0"/>
        <w:rPr/>
      </w:pPr>
      <w:r w:rsidDel="00000000" w:rsidR="00000000" w:rsidRPr="00000000">
        <w:rPr>
          <w:rtl w:val="0"/>
        </w:rPr>
        <w:t xml:space="preserve">4. Third-Party and Intermediary Conflicts</w:t>
      </w:r>
    </w:p>
    <w:p w:rsidR="00000000" w:rsidDel="00000000" w:rsidP="00000000" w:rsidRDefault="00000000" w:rsidRPr="00000000" w14:paraId="0000009D">
      <w:pPr>
        <w:numPr>
          <w:ilvl w:val="0"/>
          <w:numId w:val="41"/>
        </w:numPr>
        <w:spacing w:after="0" w:afterAutospacing="0"/>
        <w:ind w:left="2160" w:hanging="360"/>
        <w:rPr>
          <w:color w:val="000000"/>
        </w:rPr>
      </w:pPr>
      <w:r w:rsidDel="00000000" w:rsidR="00000000" w:rsidRPr="00000000">
        <w:rPr>
          <w:rtl w:val="0"/>
        </w:rPr>
        <w:t xml:space="preserve">Broker and Lender Relationships: Agreements where a broker is incentivised to recommend a lender based on commission rather than suitability.</w:t>
      </w:r>
    </w:p>
    <w:p w:rsidR="00000000" w:rsidDel="00000000" w:rsidP="00000000" w:rsidRDefault="00000000" w:rsidRPr="00000000" w14:paraId="0000009E">
      <w:pPr>
        <w:numPr>
          <w:ilvl w:val="0"/>
          <w:numId w:val="41"/>
        </w:numPr>
        <w:spacing w:after="0" w:afterAutospacing="0" w:before="0" w:beforeAutospacing="0"/>
        <w:ind w:left="2160" w:hanging="360"/>
        <w:rPr>
          <w:color w:val="000000"/>
        </w:rPr>
      </w:pPr>
      <w:r w:rsidDel="00000000" w:rsidR="00000000" w:rsidRPr="00000000">
        <w:rPr>
          <w:rtl w:val="0"/>
        </w:rPr>
        <w:t xml:space="preserve">Commission-Based Introductions: Introducers steering customers toward specific credit products to maximise their financial gain.</w:t>
      </w:r>
    </w:p>
    <w:p w:rsidR="00000000" w:rsidDel="00000000" w:rsidP="00000000" w:rsidRDefault="00000000" w:rsidRPr="00000000" w14:paraId="0000009F">
      <w:pPr>
        <w:numPr>
          <w:ilvl w:val="0"/>
          <w:numId w:val="41"/>
        </w:numPr>
        <w:spacing w:before="0" w:beforeAutospacing="0"/>
        <w:ind w:left="2160" w:hanging="360"/>
        <w:rPr>
          <w:color w:val="000000"/>
        </w:rPr>
      </w:pPr>
      <w:r w:rsidDel="00000000" w:rsidR="00000000" w:rsidRPr="00000000">
        <w:rPr>
          <w:rtl w:val="0"/>
        </w:rPr>
        <w:t xml:space="preserve">External Service Providers: Conflicts arising from using third-party firms for credit assessments, collections, or debt recovery.</w:t>
      </w:r>
    </w:p>
    <w:p w:rsidR="00000000" w:rsidDel="00000000" w:rsidP="00000000" w:rsidRDefault="00000000" w:rsidRPr="00000000" w14:paraId="000000A0">
      <w:pPr>
        <w:ind w:left="1440" w:firstLine="0"/>
        <w:rPr/>
      </w:pPr>
      <w:r w:rsidDel="00000000" w:rsidR="00000000" w:rsidRPr="00000000">
        <w:rPr>
          <w:rtl w:val="0"/>
        </w:rPr>
        <w:t xml:space="preserve">To mitigate these risks, the firm must implement strong governance, conduct regular conflict assessments, and establish policies that prioritise customer welfare over financial incentives.</w:t>
      </w:r>
    </w:p>
    <w:p w:rsidR="00000000" w:rsidDel="00000000" w:rsidP="00000000" w:rsidRDefault="00000000" w:rsidRPr="00000000" w14:paraId="000000A1">
      <w:pPr>
        <w:ind w:left="1440" w:firstLine="0"/>
        <w:rPr/>
      </w:pPr>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1"/>
        <w:rPr/>
      </w:pPr>
      <w:bookmarkStart w:colFirst="0" w:colLast="0" w:name="_rcojepo9c8af" w:id="17"/>
      <w:bookmarkEnd w:id="17"/>
      <w:r w:rsidDel="00000000" w:rsidR="00000000" w:rsidRPr="00000000">
        <w:rPr>
          <w:rtl w:val="0"/>
        </w:rPr>
        <w:t xml:space="preserve">3. Identification and Assessment of Conflicts</w:t>
      </w:r>
    </w:p>
    <w:p w:rsidR="00000000" w:rsidDel="00000000" w:rsidP="00000000" w:rsidRDefault="00000000" w:rsidRPr="00000000" w14:paraId="000000A3">
      <w:pPr>
        <w:pStyle w:val="Heading2"/>
        <w:ind w:left="1440" w:firstLine="0"/>
        <w:rPr/>
      </w:pPr>
      <w:bookmarkStart w:colFirst="0" w:colLast="0" w:name="_7j1ttdf38qqv" w:id="18"/>
      <w:bookmarkEnd w:id="18"/>
      <w:r w:rsidDel="00000000" w:rsidR="00000000" w:rsidRPr="00000000">
        <w:rPr>
          <w:rtl w:val="0"/>
        </w:rPr>
        <w:t xml:space="preserve">3.1 Conflict Identification Process</w:t>
      </w:r>
    </w:p>
    <w:p w:rsidR="00000000" w:rsidDel="00000000" w:rsidP="00000000" w:rsidRDefault="00000000" w:rsidRPr="00000000" w14:paraId="000000A4">
      <w:pPr>
        <w:ind w:left="1440" w:firstLine="0"/>
        <w:rPr/>
      </w:pPr>
      <w:r w:rsidDel="00000000" w:rsidR="00000000" w:rsidRPr="00000000">
        <w:rPr>
          <w:rtl w:val="0"/>
        </w:rPr>
        <w:t xml:space="preserve">The Firm must proactively identify, assess, and manage conflicts of interest to ensure that clients are treated fairly and that regulatory obligations under SYSC 10 and the Consumer Credit Sourcebook (CONC) are met.</w:t>
      </w:r>
    </w:p>
    <w:p w:rsidR="00000000" w:rsidDel="00000000" w:rsidP="00000000" w:rsidRDefault="00000000" w:rsidRPr="00000000" w14:paraId="000000A5">
      <w:pPr>
        <w:ind w:left="1440" w:firstLine="0"/>
        <w:rPr/>
      </w:pPr>
      <w:r w:rsidDel="00000000" w:rsidR="00000000" w:rsidRPr="00000000">
        <w:rPr>
          <w:rtl w:val="0"/>
        </w:rPr>
        <w:t xml:space="preserve">To achieve this, the Firm follows a structured conflict identification process that includes:</w:t>
      </w:r>
    </w:p>
    <w:p w:rsidR="00000000" w:rsidDel="00000000" w:rsidP="00000000" w:rsidRDefault="00000000" w:rsidRPr="00000000" w14:paraId="000000A6">
      <w:pPr>
        <w:numPr>
          <w:ilvl w:val="0"/>
          <w:numId w:val="1"/>
        </w:numPr>
        <w:spacing w:after="0" w:afterAutospacing="0"/>
        <w:ind w:left="2160" w:hanging="360"/>
        <w:rPr>
          <w:color w:val="000000"/>
        </w:rPr>
      </w:pPr>
      <w:r w:rsidDel="00000000" w:rsidR="00000000" w:rsidRPr="00000000">
        <w:rPr>
          <w:rtl w:val="0"/>
        </w:rPr>
        <w:t xml:space="preserve">Business Process Reviews – Regularly assess key areas, such as credit approval, fee structures, commissions, and staff incentives, to identify potential conflicts.</w:t>
      </w:r>
    </w:p>
    <w:p w:rsidR="00000000" w:rsidDel="00000000" w:rsidP="00000000" w:rsidRDefault="00000000" w:rsidRPr="00000000" w14:paraId="000000A7">
      <w:pPr>
        <w:numPr>
          <w:ilvl w:val="0"/>
          <w:numId w:val="1"/>
        </w:numPr>
        <w:spacing w:after="0" w:afterAutospacing="0" w:before="0" w:beforeAutospacing="0"/>
        <w:ind w:left="2160" w:hanging="360"/>
        <w:rPr>
          <w:color w:val="000000"/>
        </w:rPr>
      </w:pPr>
      <w:r w:rsidDel="00000000" w:rsidR="00000000" w:rsidRPr="00000000">
        <w:rPr>
          <w:rtl w:val="0"/>
        </w:rPr>
        <w:t xml:space="preserve">Stakeholder Analysis – Review relationships between the Firm, clients, lenders, brokers, and third-party service providers to identify any financial, contractual, or personal interests that could influence decision-making.</w:t>
      </w:r>
    </w:p>
    <w:p w:rsidR="00000000" w:rsidDel="00000000" w:rsidP="00000000" w:rsidRDefault="00000000" w:rsidRPr="00000000" w14:paraId="000000A8">
      <w:pPr>
        <w:numPr>
          <w:ilvl w:val="0"/>
          <w:numId w:val="1"/>
        </w:numPr>
        <w:spacing w:after="0" w:afterAutospacing="0" w:before="0" w:beforeAutospacing="0"/>
        <w:ind w:left="2160" w:hanging="360"/>
        <w:rPr>
          <w:color w:val="000000"/>
        </w:rPr>
      </w:pPr>
      <w:r w:rsidDel="00000000" w:rsidR="00000000" w:rsidRPr="00000000">
        <w:rPr>
          <w:rtl w:val="0"/>
        </w:rPr>
        <w:t xml:space="preserve">Employee Disclosures – Requiring staff to declare any personal or financial interests that may conflict with their duties (e.g., ownership in firms doing business with the Firm).</w:t>
      </w:r>
    </w:p>
    <w:p w:rsidR="00000000" w:rsidDel="00000000" w:rsidP="00000000" w:rsidRDefault="00000000" w:rsidRPr="00000000" w14:paraId="000000A9">
      <w:pPr>
        <w:numPr>
          <w:ilvl w:val="0"/>
          <w:numId w:val="1"/>
        </w:numPr>
        <w:spacing w:after="0" w:afterAutospacing="0" w:before="0" w:beforeAutospacing="0"/>
        <w:ind w:left="2160" w:hanging="360"/>
        <w:rPr>
          <w:color w:val="000000"/>
        </w:rPr>
      </w:pPr>
      <w:r w:rsidDel="00000000" w:rsidR="00000000" w:rsidRPr="00000000">
        <w:rPr>
          <w:rtl w:val="0"/>
        </w:rPr>
        <w:t xml:space="preserve">Customer Journey Reviews – Analysing how customers interact with the Firm, ensuring that conflicts do not influence advice, product selection, and service delivery.</w:t>
      </w:r>
    </w:p>
    <w:p w:rsidR="00000000" w:rsidDel="00000000" w:rsidP="00000000" w:rsidRDefault="00000000" w:rsidRPr="00000000" w14:paraId="000000AA">
      <w:pPr>
        <w:numPr>
          <w:ilvl w:val="0"/>
          <w:numId w:val="1"/>
        </w:numPr>
        <w:spacing w:after="0" w:afterAutospacing="0" w:before="0" w:beforeAutospacing="0"/>
        <w:ind w:left="2160" w:hanging="360"/>
        <w:rPr>
          <w:color w:val="000000"/>
        </w:rPr>
      </w:pPr>
      <w:r w:rsidDel="00000000" w:rsidR="00000000" w:rsidRPr="00000000">
        <w:rPr>
          <w:rtl w:val="0"/>
        </w:rPr>
        <w:t xml:space="preserve">Internal and External Audits – Independent compliance checks ensure the firm adheres to its conflict management framework.</w:t>
      </w:r>
    </w:p>
    <w:p w:rsidR="00000000" w:rsidDel="00000000" w:rsidP="00000000" w:rsidRDefault="00000000" w:rsidRPr="00000000" w14:paraId="000000AB">
      <w:pPr>
        <w:numPr>
          <w:ilvl w:val="0"/>
          <w:numId w:val="1"/>
        </w:numPr>
        <w:spacing w:before="0" w:beforeAutospacing="0"/>
        <w:ind w:left="2160" w:hanging="360"/>
        <w:rPr>
          <w:color w:val="000000"/>
        </w:rPr>
      </w:pPr>
      <w:r w:rsidDel="00000000" w:rsidR="00000000" w:rsidRPr="00000000">
        <w:rPr>
          <w:rtl w:val="0"/>
        </w:rPr>
        <w:t xml:space="preserve">Regulatory Monitoring – Reviewing FCA guidance and enforcement actions to identify emerging risks and ensure ongoing compliance.</w:t>
      </w:r>
    </w:p>
    <w:p w:rsidR="00000000" w:rsidDel="00000000" w:rsidP="00000000" w:rsidRDefault="00000000" w:rsidRPr="00000000" w14:paraId="000000AC">
      <w:pPr>
        <w:ind w:left="1440" w:firstLine="0"/>
        <w:rPr/>
      </w:pPr>
      <w:r w:rsidDel="00000000" w:rsidR="00000000" w:rsidRPr="00000000">
        <w:rPr>
          <w:rtl w:val="0"/>
        </w:rPr>
        <w:t xml:space="preserve">Once a conflict is identified, it is documented in the Conflicts of Interest Register, categorised based on risk, and escalated to senior management for resolution. The Firm then applies mitigation measures such as segregation of duties, enhanced disclosures, or policy adjustments to prevent customer harm.</w:t>
      </w:r>
    </w:p>
    <w:p w:rsidR="00000000" w:rsidDel="00000000" w:rsidP="00000000" w:rsidRDefault="00000000" w:rsidRPr="00000000" w14:paraId="000000AD">
      <w:pPr>
        <w:pStyle w:val="Heading2"/>
        <w:ind w:left="1440" w:firstLine="0"/>
        <w:rPr/>
      </w:pPr>
      <w:bookmarkStart w:colFirst="0" w:colLast="0" w:name="_c1a8yrssi5xt" w:id="19"/>
      <w:bookmarkEnd w:id="19"/>
      <w:r w:rsidDel="00000000" w:rsidR="00000000" w:rsidRPr="00000000">
        <w:rPr>
          <w:rtl w:val="0"/>
        </w:rPr>
        <w:t xml:space="preserve">3.2 Situations Where Conflicts May Arise</w:t>
      </w:r>
    </w:p>
    <w:p w:rsidR="00000000" w:rsidDel="00000000" w:rsidP="00000000" w:rsidRDefault="00000000" w:rsidRPr="00000000" w14:paraId="000000AE">
      <w:pPr>
        <w:ind w:left="1440" w:firstLine="0"/>
        <w:rPr/>
      </w:pPr>
      <w:r w:rsidDel="00000000" w:rsidR="00000000" w:rsidRPr="00000000">
        <w:rPr>
          <w:rtl w:val="0"/>
        </w:rPr>
        <w:t xml:space="preserve">Conflicts of interest can arise across multiple business areas. The Firm has identified high-risk areas where conflicts are most likely to occur, including:</w:t>
      </w:r>
    </w:p>
    <w:p w:rsidR="00000000" w:rsidDel="00000000" w:rsidP="00000000" w:rsidRDefault="00000000" w:rsidRPr="00000000" w14:paraId="000000AF">
      <w:pPr>
        <w:numPr>
          <w:ilvl w:val="0"/>
          <w:numId w:val="40"/>
        </w:numPr>
        <w:spacing w:after="0" w:afterAutospacing="0"/>
        <w:ind w:left="2160" w:hanging="360"/>
        <w:rPr>
          <w:color w:val="000000"/>
        </w:rPr>
      </w:pPr>
      <w:r w:rsidDel="00000000" w:rsidR="00000000" w:rsidRPr="00000000">
        <w:rPr>
          <w:rtl w:val="0"/>
        </w:rPr>
        <w:t xml:space="preserve">Credit Decision-Making: Where profit incentives or commercial relationships influence lending decisions rather than customer affordability and suitability.</w:t>
      </w:r>
    </w:p>
    <w:p w:rsidR="00000000" w:rsidDel="00000000" w:rsidP="00000000" w:rsidRDefault="00000000" w:rsidRPr="00000000" w14:paraId="000000B0">
      <w:pPr>
        <w:numPr>
          <w:ilvl w:val="0"/>
          <w:numId w:val="40"/>
        </w:numPr>
        <w:spacing w:after="0" w:afterAutospacing="0" w:before="0" w:beforeAutospacing="0"/>
        <w:ind w:left="2160" w:hanging="360"/>
        <w:rPr>
          <w:color w:val="000000"/>
        </w:rPr>
      </w:pPr>
      <w:r w:rsidDel="00000000" w:rsidR="00000000" w:rsidRPr="00000000">
        <w:rPr>
          <w:rtl w:val="0"/>
        </w:rPr>
        <w:t xml:space="preserve">Commission-Based Relationships: Where the Firm receives commissions, referral fees, or revenue-sharing arrangements from lenders, brokers, or other third parties.</w:t>
      </w:r>
    </w:p>
    <w:p w:rsidR="00000000" w:rsidDel="00000000" w:rsidP="00000000" w:rsidRDefault="00000000" w:rsidRPr="00000000" w14:paraId="000000B1">
      <w:pPr>
        <w:numPr>
          <w:ilvl w:val="0"/>
          <w:numId w:val="40"/>
        </w:numPr>
        <w:spacing w:after="0" w:afterAutospacing="0" w:before="0" w:beforeAutospacing="0"/>
        <w:ind w:left="2160" w:hanging="360"/>
        <w:rPr>
          <w:color w:val="000000"/>
        </w:rPr>
      </w:pPr>
      <w:r w:rsidDel="00000000" w:rsidR="00000000" w:rsidRPr="00000000">
        <w:rPr>
          <w:rtl w:val="0"/>
        </w:rPr>
        <w:t xml:space="preserve">Incentive Structures: Where employee bonuses, targets, or remuneration models may encourage behaviour that is not in the best interests of customers.</w:t>
      </w:r>
    </w:p>
    <w:p w:rsidR="00000000" w:rsidDel="00000000" w:rsidP="00000000" w:rsidRDefault="00000000" w:rsidRPr="00000000" w14:paraId="000000B2">
      <w:pPr>
        <w:numPr>
          <w:ilvl w:val="0"/>
          <w:numId w:val="40"/>
        </w:numPr>
        <w:spacing w:after="0" w:afterAutospacing="0" w:before="0" w:beforeAutospacing="0"/>
        <w:ind w:left="2160" w:hanging="360"/>
        <w:rPr>
          <w:color w:val="000000"/>
        </w:rPr>
      </w:pPr>
      <w:r w:rsidDel="00000000" w:rsidR="00000000" w:rsidRPr="00000000">
        <w:rPr>
          <w:rtl w:val="0"/>
        </w:rPr>
        <w:t xml:space="preserve">Debt Collection Practices: Where the Firm prioritises certain customers or loan portfolios for collections based on financial incentives rather than customer circumstances.</w:t>
      </w:r>
    </w:p>
    <w:p w:rsidR="00000000" w:rsidDel="00000000" w:rsidP="00000000" w:rsidRDefault="00000000" w:rsidRPr="00000000" w14:paraId="000000B3">
      <w:pPr>
        <w:numPr>
          <w:ilvl w:val="0"/>
          <w:numId w:val="40"/>
        </w:numPr>
        <w:spacing w:before="0" w:beforeAutospacing="0"/>
        <w:ind w:left="2160" w:hanging="360"/>
        <w:rPr>
          <w:color w:val="000000"/>
        </w:rPr>
      </w:pPr>
      <w:r w:rsidDel="00000000" w:rsidR="00000000" w:rsidRPr="00000000">
        <w:rPr>
          <w:rtl w:val="0"/>
        </w:rPr>
        <w:t xml:space="preserve">Marketing and Product Promotion: Where the Firm recommends certain credit products or services based on financial incentives rather than objective customer needs.</w:t>
      </w:r>
    </w:p>
    <w:p w:rsidR="00000000" w:rsidDel="00000000" w:rsidP="00000000" w:rsidRDefault="00000000" w:rsidRPr="00000000" w14:paraId="000000B4">
      <w:pPr>
        <w:ind w:left="1440" w:firstLine="0"/>
        <w:rPr/>
      </w:pPr>
      <w:r w:rsidDel="00000000" w:rsidR="00000000" w:rsidRPr="00000000">
        <w:rPr>
          <w:rtl w:val="0"/>
        </w:rPr>
        <w:t xml:space="preserve">Each scenario requires clear governance, monitoring, and controls to prevent conflicts from leading to unfair customer outcomes.</w:t>
      </w:r>
    </w:p>
    <w:p w:rsidR="00000000" w:rsidDel="00000000" w:rsidP="00000000" w:rsidRDefault="00000000" w:rsidRPr="00000000" w14:paraId="000000B5">
      <w:pPr>
        <w:pStyle w:val="Heading2"/>
        <w:ind w:left="1440" w:firstLine="0"/>
        <w:rPr/>
      </w:pPr>
      <w:bookmarkStart w:colFirst="0" w:colLast="0" w:name="_poe877hgo39e" w:id="20"/>
      <w:bookmarkEnd w:id="20"/>
      <w:r w:rsidDel="00000000" w:rsidR="00000000" w:rsidRPr="00000000">
        <w:rPr>
          <w:rtl w:val="0"/>
        </w:rPr>
        <w:t xml:space="preserve">3.3 Client vs. Client Conflicts</w:t>
      </w:r>
    </w:p>
    <w:p w:rsidR="00000000" w:rsidDel="00000000" w:rsidP="00000000" w:rsidRDefault="00000000" w:rsidRPr="00000000" w14:paraId="000000B6">
      <w:pPr>
        <w:ind w:left="1440" w:firstLine="0"/>
        <w:rPr/>
      </w:pPr>
      <w:r w:rsidDel="00000000" w:rsidR="00000000" w:rsidRPr="00000000">
        <w:rPr>
          <w:rtl w:val="0"/>
        </w:rPr>
        <w:t xml:space="preserve">A Client vs. Client Conflict arises when the interests of one customer are unfairly prioritised over another customer's. Key examples include:</w:t>
      </w:r>
    </w:p>
    <w:p w:rsidR="00000000" w:rsidDel="00000000" w:rsidP="00000000" w:rsidRDefault="00000000" w:rsidRPr="00000000" w14:paraId="000000B7">
      <w:pPr>
        <w:numPr>
          <w:ilvl w:val="0"/>
          <w:numId w:val="3"/>
        </w:numPr>
        <w:spacing w:after="0" w:afterAutospacing="0"/>
        <w:ind w:left="2160" w:hanging="360"/>
        <w:rPr>
          <w:color w:val="000000"/>
        </w:rPr>
      </w:pPr>
      <w:r w:rsidDel="00000000" w:rsidR="00000000" w:rsidRPr="00000000">
        <w:rPr>
          <w:rtl w:val="0"/>
        </w:rPr>
        <w:t xml:space="preserve">Preferential Credit Terms: One client receives more favourable loan terms, interest rates, or fees despite similar financial circumstances.</w:t>
      </w:r>
    </w:p>
    <w:p w:rsidR="00000000" w:rsidDel="00000000" w:rsidP="00000000" w:rsidRDefault="00000000" w:rsidRPr="00000000" w14:paraId="000000B8">
      <w:pPr>
        <w:numPr>
          <w:ilvl w:val="0"/>
          <w:numId w:val="3"/>
        </w:numPr>
        <w:spacing w:after="0" w:afterAutospacing="0" w:before="0" w:beforeAutospacing="0"/>
        <w:ind w:left="2160" w:hanging="360"/>
        <w:rPr>
          <w:color w:val="000000"/>
        </w:rPr>
      </w:pPr>
      <w:r w:rsidDel="00000000" w:rsidR="00000000" w:rsidRPr="00000000">
        <w:rPr>
          <w:rtl w:val="0"/>
        </w:rPr>
        <w:t xml:space="preserve">Limited Product Availability: Where the Firm restricts access to certain products to specific customer segments based on commercial agreements rather than suitability.</w:t>
      </w:r>
    </w:p>
    <w:p w:rsidR="00000000" w:rsidDel="00000000" w:rsidP="00000000" w:rsidRDefault="00000000" w:rsidRPr="00000000" w14:paraId="000000B9">
      <w:pPr>
        <w:numPr>
          <w:ilvl w:val="0"/>
          <w:numId w:val="3"/>
        </w:numPr>
        <w:spacing w:after="0" w:afterAutospacing="0" w:before="0" w:beforeAutospacing="0"/>
        <w:ind w:left="2160" w:hanging="360"/>
        <w:rPr>
          <w:color w:val="000000"/>
        </w:rPr>
      </w:pPr>
      <w:r w:rsidDel="00000000" w:rsidR="00000000" w:rsidRPr="00000000">
        <w:rPr>
          <w:rtl w:val="0"/>
        </w:rPr>
        <w:t xml:space="preserve">Debt Recovery and Collection Prioritisation: The Firm prioritises debt collection actions for specific customers based on financial incentives rather than standardised risk assessments.</w:t>
      </w:r>
    </w:p>
    <w:p w:rsidR="00000000" w:rsidDel="00000000" w:rsidP="00000000" w:rsidRDefault="00000000" w:rsidRPr="00000000" w14:paraId="000000BA">
      <w:pPr>
        <w:numPr>
          <w:ilvl w:val="0"/>
          <w:numId w:val="3"/>
        </w:numPr>
        <w:spacing w:before="0" w:beforeAutospacing="0"/>
        <w:ind w:left="2160" w:hanging="360"/>
        <w:rPr>
          <w:color w:val="000000"/>
        </w:rPr>
      </w:pPr>
      <w:r w:rsidDel="00000000" w:rsidR="00000000" w:rsidRPr="00000000">
        <w:rPr>
          <w:rtl w:val="0"/>
        </w:rPr>
        <w:t xml:space="preserve">Cross-Selling and Upselling Practices: Where the Firm offers additional financial products to some customers but not others, based on profitability rather than customer benefit.</w:t>
      </w:r>
    </w:p>
    <w:p w:rsidR="00000000" w:rsidDel="00000000" w:rsidP="00000000" w:rsidRDefault="00000000" w:rsidRPr="00000000" w14:paraId="000000BB">
      <w:pPr>
        <w:ind w:left="1440" w:firstLine="0"/>
        <w:rPr/>
      </w:pPr>
      <w:r w:rsidDel="00000000" w:rsidR="00000000" w:rsidRPr="00000000">
        <w:rPr>
          <w:rtl w:val="0"/>
        </w:rPr>
        <w:t xml:space="preserve">To manage these risks, the Firm ensures:</w:t>
      </w:r>
    </w:p>
    <w:p w:rsidR="00000000" w:rsidDel="00000000" w:rsidP="00000000" w:rsidRDefault="00000000" w:rsidRPr="00000000" w14:paraId="000000BC">
      <w:pPr>
        <w:numPr>
          <w:ilvl w:val="0"/>
          <w:numId w:val="18"/>
        </w:numPr>
        <w:spacing w:after="0" w:afterAutospacing="0"/>
        <w:ind w:left="2160" w:hanging="360"/>
        <w:rPr>
          <w:color w:val="000000"/>
        </w:rPr>
      </w:pPr>
      <w:r w:rsidDel="00000000" w:rsidR="00000000" w:rsidRPr="00000000">
        <w:rPr>
          <w:rtl w:val="0"/>
        </w:rPr>
        <w:t xml:space="preserve">Impartiality in Lending Decisions – Using transparent and standardised customer assessment criteria.</w:t>
      </w:r>
    </w:p>
    <w:p w:rsidR="00000000" w:rsidDel="00000000" w:rsidP="00000000" w:rsidRDefault="00000000" w:rsidRPr="00000000" w14:paraId="000000BD">
      <w:pPr>
        <w:numPr>
          <w:ilvl w:val="0"/>
          <w:numId w:val="18"/>
        </w:numPr>
        <w:spacing w:after="0" w:afterAutospacing="0" w:before="0" w:beforeAutospacing="0"/>
        <w:ind w:left="2160" w:hanging="360"/>
        <w:rPr>
          <w:color w:val="000000"/>
        </w:rPr>
      </w:pPr>
      <w:r w:rsidDel="00000000" w:rsidR="00000000" w:rsidRPr="00000000">
        <w:rPr>
          <w:rtl w:val="0"/>
        </w:rPr>
        <w:t xml:space="preserve">Consistent Debt Collection Practices – Prioritising based on customer affordability assessments rather than revenue potential.</w:t>
      </w:r>
    </w:p>
    <w:p w:rsidR="00000000" w:rsidDel="00000000" w:rsidP="00000000" w:rsidRDefault="00000000" w:rsidRPr="00000000" w14:paraId="000000BE">
      <w:pPr>
        <w:numPr>
          <w:ilvl w:val="0"/>
          <w:numId w:val="18"/>
        </w:numPr>
        <w:spacing w:before="0" w:beforeAutospacing="0"/>
        <w:ind w:left="2160" w:hanging="360"/>
        <w:rPr>
          <w:color w:val="000000"/>
        </w:rPr>
      </w:pPr>
      <w:r w:rsidDel="00000000" w:rsidR="00000000" w:rsidRPr="00000000">
        <w:rPr>
          <w:rtl w:val="0"/>
        </w:rPr>
        <w:t xml:space="preserve">Fair Treatment in Product Availability – Ensuring product recommendations are based on objective eligibility criteria rather than commercial incentives.</w:t>
      </w:r>
    </w:p>
    <w:p w:rsidR="00000000" w:rsidDel="00000000" w:rsidP="00000000" w:rsidRDefault="00000000" w:rsidRPr="00000000" w14:paraId="000000BF">
      <w:pPr>
        <w:ind w:left="1440" w:firstLine="0"/>
        <w:rPr/>
      </w:pPr>
      <w:r w:rsidDel="00000000" w:rsidR="00000000" w:rsidRPr="00000000">
        <w:rPr>
          <w:rtl w:val="0"/>
        </w:rPr>
        <w:t xml:space="preserve">Where a client vs. client conflict cannot be avoided, the Firm will disclose it to all affected parties to ensure transparency and informed decision-making.</w:t>
      </w:r>
    </w:p>
    <w:p w:rsidR="00000000" w:rsidDel="00000000" w:rsidP="00000000" w:rsidRDefault="00000000" w:rsidRPr="00000000" w14:paraId="000000C0">
      <w:pPr>
        <w:pStyle w:val="Heading2"/>
        <w:ind w:left="1440" w:firstLine="0"/>
        <w:rPr/>
      </w:pPr>
      <w:bookmarkStart w:colFirst="0" w:colLast="0" w:name="_ygtdy83cy7y5" w:id="21"/>
      <w:bookmarkEnd w:id="21"/>
      <w:r w:rsidDel="00000000" w:rsidR="00000000" w:rsidRPr="00000000">
        <w:rPr>
          <w:rtl w:val="0"/>
        </w:rPr>
        <w:t xml:space="preserve">3.4 Employee and Management Conflicts</w:t>
      </w:r>
    </w:p>
    <w:p w:rsidR="00000000" w:rsidDel="00000000" w:rsidP="00000000" w:rsidRDefault="00000000" w:rsidRPr="00000000" w14:paraId="000000C1">
      <w:pPr>
        <w:ind w:left="1440" w:firstLine="0"/>
        <w:rPr/>
      </w:pPr>
      <w:r w:rsidDel="00000000" w:rsidR="00000000" w:rsidRPr="00000000">
        <w:rPr>
          <w:rtl w:val="0"/>
        </w:rPr>
        <w:t xml:space="preserve">Conflicts may also arise at the employee and management level, where personal interests, financial incentives, or decision-making authority could compromise fairness and objectivity.</w:t>
      </w:r>
    </w:p>
    <w:p w:rsidR="00000000" w:rsidDel="00000000" w:rsidP="00000000" w:rsidRDefault="00000000" w:rsidRPr="00000000" w14:paraId="000000C2">
      <w:pPr>
        <w:ind w:left="1440" w:firstLine="0"/>
        <w:rPr/>
      </w:pPr>
      <w:r w:rsidDel="00000000" w:rsidR="00000000" w:rsidRPr="00000000">
        <w:rPr>
          <w:rtl w:val="0"/>
        </w:rPr>
        <w:t xml:space="preserve">Key employee and management conflict scenarios include:</w:t>
      </w:r>
    </w:p>
    <w:p w:rsidR="00000000" w:rsidDel="00000000" w:rsidP="00000000" w:rsidRDefault="00000000" w:rsidRPr="00000000" w14:paraId="000000C3">
      <w:pPr>
        <w:numPr>
          <w:ilvl w:val="0"/>
          <w:numId w:val="35"/>
        </w:numPr>
        <w:spacing w:after="0" w:afterAutospacing="0"/>
        <w:ind w:left="2160" w:hanging="360"/>
        <w:rPr>
          <w:color w:val="000000"/>
        </w:rPr>
      </w:pPr>
      <w:r w:rsidDel="00000000" w:rsidR="00000000" w:rsidRPr="00000000">
        <w:rPr>
          <w:rtl w:val="0"/>
        </w:rPr>
        <w:t xml:space="preserve">Personal Financial Interests: Employees having a financial stake in lenders, brokers, or other third parties that do business with the Firm.</w:t>
      </w:r>
    </w:p>
    <w:p w:rsidR="00000000" w:rsidDel="00000000" w:rsidP="00000000" w:rsidRDefault="00000000" w:rsidRPr="00000000" w14:paraId="000000C4">
      <w:pPr>
        <w:numPr>
          <w:ilvl w:val="0"/>
          <w:numId w:val="35"/>
        </w:numPr>
        <w:spacing w:after="0" w:afterAutospacing="0" w:before="0" w:beforeAutospacing="0"/>
        <w:ind w:left="2160" w:hanging="360"/>
        <w:rPr>
          <w:color w:val="000000"/>
        </w:rPr>
      </w:pPr>
      <w:r w:rsidDel="00000000" w:rsidR="00000000" w:rsidRPr="00000000">
        <w:rPr>
          <w:rtl w:val="0"/>
        </w:rPr>
        <w:t xml:space="preserve">Staff Remuneration and Incentives: Performance-based pay structures that encourage sales volume over customer suitability.</w:t>
      </w:r>
    </w:p>
    <w:p w:rsidR="00000000" w:rsidDel="00000000" w:rsidP="00000000" w:rsidRDefault="00000000" w:rsidRPr="00000000" w14:paraId="000000C5">
      <w:pPr>
        <w:numPr>
          <w:ilvl w:val="0"/>
          <w:numId w:val="35"/>
        </w:numPr>
        <w:spacing w:after="0" w:afterAutospacing="0" w:before="0" w:beforeAutospacing="0"/>
        <w:ind w:left="2160" w:hanging="360"/>
        <w:rPr>
          <w:color w:val="000000"/>
        </w:rPr>
      </w:pPr>
      <w:r w:rsidDel="00000000" w:rsidR="00000000" w:rsidRPr="00000000">
        <w:rPr>
          <w:rtl w:val="0"/>
        </w:rPr>
        <w:t xml:space="preserve">Gift and Hospitality Risks: Employees receiving gifts, entertainment, or financial inducements from lenders or brokers that could influence decision-making.</w:t>
      </w:r>
    </w:p>
    <w:p w:rsidR="00000000" w:rsidDel="00000000" w:rsidP="00000000" w:rsidRDefault="00000000" w:rsidRPr="00000000" w14:paraId="000000C6">
      <w:pPr>
        <w:numPr>
          <w:ilvl w:val="0"/>
          <w:numId w:val="35"/>
        </w:numPr>
        <w:spacing w:after="0" w:afterAutospacing="0" w:before="0" w:beforeAutospacing="0"/>
        <w:ind w:left="2160" w:hanging="360"/>
        <w:rPr>
          <w:color w:val="000000"/>
        </w:rPr>
      </w:pPr>
      <w:r w:rsidDel="00000000" w:rsidR="00000000" w:rsidRPr="00000000">
        <w:rPr>
          <w:rtl w:val="0"/>
        </w:rPr>
        <w:t xml:space="preserve">Senior Management Influence: Directors or senior leaders use their position to steer business relationships or lending decisions for personal or financial benefit.</w:t>
      </w:r>
    </w:p>
    <w:p w:rsidR="00000000" w:rsidDel="00000000" w:rsidP="00000000" w:rsidRDefault="00000000" w:rsidRPr="00000000" w14:paraId="000000C7">
      <w:pPr>
        <w:numPr>
          <w:ilvl w:val="0"/>
          <w:numId w:val="35"/>
        </w:numPr>
        <w:spacing w:before="0" w:beforeAutospacing="0"/>
        <w:ind w:left="2160" w:hanging="360"/>
        <w:rPr>
          <w:color w:val="000000"/>
        </w:rPr>
      </w:pPr>
      <w:r w:rsidDel="00000000" w:rsidR="00000000" w:rsidRPr="00000000">
        <w:rPr>
          <w:rtl w:val="0"/>
        </w:rPr>
        <w:t xml:space="preserve">Dual Roles and External Commitments: Employees holding positions at competitor firms, suppliers, or affiliated financial institutions may create conflicts of interest.</w:t>
      </w:r>
    </w:p>
    <w:p w:rsidR="00000000" w:rsidDel="00000000" w:rsidP="00000000" w:rsidRDefault="00000000" w:rsidRPr="00000000" w14:paraId="000000C8">
      <w:pPr>
        <w:ind w:left="1440" w:firstLine="0"/>
        <w:rPr/>
      </w:pPr>
      <w:r w:rsidDel="00000000" w:rsidR="00000000" w:rsidRPr="00000000">
        <w:rPr>
          <w:rtl w:val="0"/>
        </w:rPr>
        <w:t xml:space="preserve">Mitigating Employee and Management Conflicts</w:t>
        <w:br w:type="textWrapping"/>
        <w:t xml:space="preserve">To prevent these conflicts from impacting customer outcomes, the Firm implements:</w:t>
      </w:r>
    </w:p>
    <w:p w:rsidR="00000000" w:rsidDel="00000000" w:rsidP="00000000" w:rsidRDefault="00000000" w:rsidRPr="00000000" w14:paraId="000000C9">
      <w:pPr>
        <w:numPr>
          <w:ilvl w:val="0"/>
          <w:numId w:val="26"/>
        </w:numPr>
        <w:spacing w:after="0" w:afterAutospacing="0"/>
        <w:ind w:left="2160" w:hanging="360"/>
        <w:rPr>
          <w:color w:val="000000"/>
        </w:rPr>
      </w:pPr>
      <w:r w:rsidDel="00000000" w:rsidR="00000000" w:rsidRPr="00000000">
        <w:rPr>
          <w:rtl w:val="0"/>
        </w:rPr>
        <w:t xml:space="preserve">Employee Disclosure Requirements – All employees must disclose their financial interests and external business relationships.</w:t>
      </w:r>
    </w:p>
    <w:p w:rsidR="00000000" w:rsidDel="00000000" w:rsidP="00000000" w:rsidRDefault="00000000" w:rsidRPr="00000000" w14:paraId="000000CA">
      <w:pPr>
        <w:numPr>
          <w:ilvl w:val="0"/>
          <w:numId w:val="26"/>
        </w:numPr>
        <w:spacing w:after="0" w:afterAutospacing="0" w:before="0" w:beforeAutospacing="0"/>
        <w:ind w:left="2160" w:hanging="360"/>
        <w:rPr>
          <w:color w:val="000000"/>
        </w:rPr>
      </w:pPr>
      <w:r w:rsidDel="00000000" w:rsidR="00000000" w:rsidRPr="00000000">
        <w:rPr>
          <w:rtl w:val="0"/>
        </w:rPr>
        <w:t xml:space="preserve">Conflict of Interest Register – Maintaining records of all disclosed conflicts and actions taken.</w:t>
      </w:r>
    </w:p>
    <w:p w:rsidR="00000000" w:rsidDel="00000000" w:rsidP="00000000" w:rsidRDefault="00000000" w:rsidRPr="00000000" w14:paraId="000000CB">
      <w:pPr>
        <w:numPr>
          <w:ilvl w:val="0"/>
          <w:numId w:val="26"/>
        </w:numPr>
        <w:spacing w:after="0" w:afterAutospacing="0" w:before="0" w:beforeAutospacing="0"/>
        <w:ind w:left="2160" w:hanging="360"/>
        <w:rPr>
          <w:color w:val="000000"/>
        </w:rPr>
      </w:pPr>
      <w:r w:rsidDel="00000000" w:rsidR="00000000" w:rsidRPr="00000000">
        <w:rPr>
          <w:rtl w:val="0"/>
        </w:rPr>
        <w:t xml:space="preserve">Independent Decision-Making Structures – Ensuring that no single individual has sole authority over key business decisions.</w:t>
      </w:r>
    </w:p>
    <w:p w:rsidR="00000000" w:rsidDel="00000000" w:rsidP="00000000" w:rsidRDefault="00000000" w:rsidRPr="00000000" w14:paraId="000000CC">
      <w:pPr>
        <w:numPr>
          <w:ilvl w:val="0"/>
          <w:numId w:val="26"/>
        </w:numPr>
        <w:spacing w:after="0" w:afterAutospacing="0" w:before="0" w:beforeAutospacing="0"/>
        <w:ind w:left="2160" w:hanging="360"/>
        <w:rPr>
          <w:color w:val="000000"/>
        </w:rPr>
      </w:pPr>
      <w:r w:rsidDel="00000000" w:rsidR="00000000" w:rsidRPr="00000000">
        <w:rPr>
          <w:rtl w:val="0"/>
        </w:rPr>
        <w:t xml:space="preserve">Segregation of Duties – Separating teams responsible for credit approval, sales, and compliance to prevent undue influence.</w:t>
      </w:r>
    </w:p>
    <w:p w:rsidR="00000000" w:rsidDel="00000000" w:rsidP="00000000" w:rsidRDefault="00000000" w:rsidRPr="00000000" w14:paraId="000000CD">
      <w:pPr>
        <w:numPr>
          <w:ilvl w:val="0"/>
          <w:numId w:val="26"/>
        </w:numPr>
        <w:spacing w:before="0" w:beforeAutospacing="0"/>
        <w:ind w:left="2160" w:hanging="360"/>
        <w:rPr>
          <w:color w:val="000000"/>
        </w:rPr>
      </w:pPr>
      <w:r w:rsidDel="00000000" w:rsidR="00000000" w:rsidRPr="00000000">
        <w:rPr>
          <w:rtl w:val="0"/>
        </w:rPr>
        <w:t xml:space="preserve">Strict Gift and Inducement Policies: These policies limit the acceptance of gifts, hospitality, and financial benefits from third parties.</w:t>
      </w:r>
    </w:p>
    <w:p w:rsidR="00000000" w:rsidDel="00000000" w:rsidP="00000000" w:rsidRDefault="00000000" w:rsidRPr="00000000" w14:paraId="000000CE">
      <w:pPr>
        <w:ind w:left="1440" w:firstLine="0"/>
        <w:rPr/>
      </w:pPr>
      <w:r w:rsidDel="00000000" w:rsidR="00000000" w:rsidRPr="00000000">
        <w:rPr>
          <w:rtl w:val="0"/>
        </w:rPr>
        <w:t xml:space="preserve">When a senior management conflict is identified, the individuals involved must recuse themselves from relevant decision-making and escalate it to the Board or Compliance Committee for independent review.</w:t>
      </w:r>
    </w:p>
    <w:p w:rsidR="00000000" w:rsidDel="00000000" w:rsidP="00000000" w:rsidRDefault="00000000" w:rsidRPr="00000000" w14:paraId="000000CF">
      <w:pPr>
        <w:ind w:left="1440" w:firstLine="0"/>
        <w:rPr/>
      </w:pPr>
      <w:r w:rsidDel="00000000" w:rsidR="00000000" w:rsidRPr="00000000">
        <w:rPr>
          <w:rtl w:val="0"/>
        </w:rPr>
        <w:t xml:space="preserve">By embedding these controls, the Firm ensures that all employees and management act in clients' best interests, uphold ethical standards, and remain compliant with FCA regulations.</w:t>
      </w:r>
    </w:p>
    <w:p w:rsidR="00000000" w:rsidDel="00000000" w:rsidP="00000000" w:rsidRDefault="00000000" w:rsidRPr="00000000" w14:paraId="000000D0">
      <w:pPr>
        <w:ind w:left="1440" w:firstLine="0"/>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1"/>
        <w:rPr/>
      </w:pPr>
      <w:bookmarkStart w:colFirst="0" w:colLast="0" w:name="_micpgyh3vjch" w:id="22"/>
      <w:bookmarkEnd w:id="22"/>
      <w:r w:rsidDel="00000000" w:rsidR="00000000" w:rsidRPr="00000000">
        <w:rPr>
          <w:rtl w:val="0"/>
        </w:rPr>
        <w:t xml:space="preserve">4. Managing and Mitigating Conflicts</w:t>
      </w:r>
    </w:p>
    <w:p w:rsidR="00000000" w:rsidDel="00000000" w:rsidP="00000000" w:rsidRDefault="00000000" w:rsidRPr="00000000" w14:paraId="000000D2">
      <w:pPr>
        <w:pStyle w:val="Heading2"/>
        <w:ind w:left="1440" w:firstLine="0"/>
        <w:rPr/>
      </w:pPr>
      <w:bookmarkStart w:colFirst="0" w:colLast="0" w:name="_rvzy8cuc0jh8" w:id="23"/>
      <w:bookmarkEnd w:id="23"/>
      <w:r w:rsidDel="00000000" w:rsidR="00000000" w:rsidRPr="00000000">
        <w:rPr>
          <w:rtl w:val="0"/>
        </w:rPr>
        <w:t xml:space="preserve">4.1 Preventive Measures and Internal Controls</w:t>
      </w:r>
    </w:p>
    <w:p w:rsidR="00000000" w:rsidDel="00000000" w:rsidP="00000000" w:rsidRDefault="00000000" w:rsidRPr="00000000" w14:paraId="000000D3">
      <w:pPr>
        <w:ind w:left="1440" w:firstLine="0"/>
        <w:rPr/>
      </w:pPr>
      <w:r w:rsidDel="00000000" w:rsidR="00000000" w:rsidRPr="00000000">
        <w:rPr>
          <w:rtl w:val="0"/>
        </w:rPr>
        <w:t xml:space="preserve">To effectively manage conflicts of interest, the Firm implements a risk-based approach, ensuring that all actual, potential, or perceived conflicts are identified, assessed, and mitigated before they can harm clients or impact regulatory compliance.</w:t>
      </w:r>
    </w:p>
    <w:p w:rsidR="00000000" w:rsidDel="00000000" w:rsidP="00000000" w:rsidRDefault="00000000" w:rsidRPr="00000000" w14:paraId="000000D4">
      <w:pPr>
        <w:ind w:left="1440" w:firstLine="0"/>
        <w:rPr/>
      </w:pPr>
      <w:r w:rsidDel="00000000" w:rsidR="00000000" w:rsidRPr="00000000">
        <w:rPr>
          <w:rtl w:val="0"/>
        </w:rPr>
        <w:t xml:space="preserve">The Firm’s preventative measures and internal controls include:</w:t>
      </w:r>
    </w:p>
    <w:p w:rsidR="00000000" w:rsidDel="00000000" w:rsidP="00000000" w:rsidRDefault="00000000" w:rsidRPr="00000000" w14:paraId="000000D5">
      <w:pPr>
        <w:numPr>
          <w:ilvl w:val="0"/>
          <w:numId w:val="7"/>
        </w:numPr>
        <w:spacing w:after="0" w:afterAutospacing="0"/>
        <w:ind w:left="2160" w:hanging="360"/>
        <w:rPr>
          <w:color w:val="000000"/>
        </w:rPr>
      </w:pPr>
      <w:r w:rsidDel="00000000" w:rsidR="00000000" w:rsidRPr="00000000">
        <w:rPr>
          <w:rtl w:val="0"/>
        </w:rPr>
        <w:t xml:space="preserve">Conflicts of Interest Register – A centralised record of all identified conflicts, mitigation measures, and ongoing monitoring.</w:t>
      </w:r>
    </w:p>
    <w:p w:rsidR="00000000" w:rsidDel="00000000" w:rsidP="00000000" w:rsidRDefault="00000000" w:rsidRPr="00000000" w14:paraId="000000D6">
      <w:pPr>
        <w:numPr>
          <w:ilvl w:val="0"/>
          <w:numId w:val="7"/>
        </w:numPr>
        <w:spacing w:after="0" w:afterAutospacing="0" w:before="0" w:beforeAutospacing="0"/>
        <w:ind w:left="2160" w:hanging="360"/>
        <w:rPr>
          <w:color w:val="000000"/>
        </w:rPr>
      </w:pPr>
      <w:r w:rsidDel="00000000" w:rsidR="00000000" w:rsidRPr="00000000">
        <w:rPr>
          <w:rtl w:val="0"/>
        </w:rPr>
        <w:t xml:space="preserve">Pre-Approval Processes – Senior management must approve high-risk transactions, agreements, or relationships where a conflict may arise.</w:t>
      </w:r>
    </w:p>
    <w:p w:rsidR="00000000" w:rsidDel="00000000" w:rsidP="00000000" w:rsidRDefault="00000000" w:rsidRPr="00000000" w14:paraId="000000D7">
      <w:pPr>
        <w:numPr>
          <w:ilvl w:val="0"/>
          <w:numId w:val="7"/>
        </w:numPr>
        <w:spacing w:after="0" w:afterAutospacing="0" w:before="0" w:beforeAutospacing="0"/>
        <w:ind w:left="2160" w:hanging="360"/>
        <w:rPr>
          <w:color w:val="000000"/>
        </w:rPr>
      </w:pPr>
      <w:r w:rsidDel="00000000" w:rsidR="00000000" w:rsidRPr="00000000">
        <w:rPr>
          <w:rtl w:val="0"/>
        </w:rPr>
        <w:t xml:space="preserve">Governance Oversight: The Compliance Officer and Senior Management Committee conduct regular conflict reviews to ensure the effective implementation of policies.</w:t>
      </w:r>
    </w:p>
    <w:p w:rsidR="00000000" w:rsidDel="00000000" w:rsidP="00000000" w:rsidRDefault="00000000" w:rsidRPr="00000000" w14:paraId="000000D8">
      <w:pPr>
        <w:numPr>
          <w:ilvl w:val="0"/>
          <w:numId w:val="7"/>
        </w:numPr>
        <w:spacing w:after="0" w:afterAutospacing="0" w:before="0" w:beforeAutospacing="0"/>
        <w:ind w:left="2160" w:hanging="360"/>
        <w:rPr>
          <w:color w:val="000000"/>
        </w:rPr>
      </w:pPr>
      <w:r w:rsidDel="00000000" w:rsidR="00000000" w:rsidRPr="00000000">
        <w:rPr>
          <w:rtl w:val="0"/>
        </w:rPr>
        <w:t xml:space="preserve">Automated Controls – System-based restrictions to prevent unauthorised access to sensitive customer data or preferential transaction handling.</w:t>
      </w:r>
    </w:p>
    <w:p w:rsidR="00000000" w:rsidDel="00000000" w:rsidP="00000000" w:rsidRDefault="00000000" w:rsidRPr="00000000" w14:paraId="000000D9">
      <w:pPr>
        <w:numPr>
          <w:ilvl w:val="0"/>
          <w:numId w:val="7"/>
        </w:numPr>
        <w:spacing w:after="0" w:afterAutospacing="0" w:before="0" w:beforeAutospacing="0"/>
        <w:ind w:left="2160" w:hanging="360"/>
        <w:rPr>
          <w:color w:val="000000"/>
        </w:rPr>
      </w:pPr>
      <w:r w:rsidDel="00000000" w:rsidR="00000000" w:rsidRPr="00000000">
        <w:rPr>
          <w:rtl w:val="0"/>
        </w:rPr>
        <w:t xml:space="preserve">Regular Compliance Audits – Independent audits to assess the effectiveness of conflict management procedures and identify potential gaps.</w:t>
      </w:r>
    </w:p>
    <w:p w:rsidR="00000000" w:rsidDel="00000000" w:rsidP="00000000" w:rsidRDefault="00000000" w:rsidRPr="00000000" w14:paraId="000000DA">
      <w:pPr>
        <w:numPr>
          <w:ilvl w:val="0"/>
          <w:numId w:val="7"/>
        </w:numPr>
        <w:spacing w:before="0" w:beforeAutospacing="0"/>
        <w:ind w:left="2160" w:hanging="360"/>
        <w:rPr>
          <w:color w:val="000000"/>
        </w:rPr>
      </w:pPr>
      <w:r w:rsidDel="00000000" w:rsidR="00000000" w:rsidRPr="00000000">
        <w:rPr>
          <w:rtl w:val="0"/>
        </w:rPr>
        <w:t xml:space="preserve">Whistleblowing Procedures – A confidential mechanism allowing employees to report any suspected conflicts of interest without fear of retaliation.</w:t>
      </w:r>
    </w:p>
    <w:p w:rsidR="00000000" w:rsidDel="00000000" w:rsidP="00000000" w:rsidRDefault="00000000" w:rsidRPr="00000000" w14:paraId="000000DB">
      <w:pPr>
        <w:ind w:left="1440" w:firstLine="0"/>
        <w:rPr/>
      </w:pPr>
      <w:r w:rsidDel="00000000" w:rsidR="00000000" w:rsidRPr="00000000">
        <w:rPr>
          <w:rtl w:val="0"/>
        </w:rPr>
        <w:t xml:space="preserve">By implementing these controls, the Firm ensures that risks associated with conflicts of interest are addressed before they affect customer outcomes or regulatory standing.</w:t>
      </w:r>
    </w:p>
    <w:p w:rsidR="00000000" w:rsidDel="00000000" w:rsidP="00000000" w:rsidRDefault="00000000" w:rsidRPr="00000000" w14:paraId="000000DC">
      <w:pPr>
        <w:pStyle w:val="Heading2"/>
        <w:ind w:left="1440" w:firstLine="0"/>
        <w:rPr/>
      </w:pPr>
      <w:bookmarkStart w:colFirst="0" w:colLast="0" w:name="_x3zv08bw6ljl" w:id="24"/>
      <w:bookmarkEnd w:id="24"/>
      <w:r w:rsidDel="00000000" w:rsidR="00000000" w:rsidRPr="00000000">
        <w:rPr>
          <w:rtl w:val="0"/>
        </w:rPr>
        <w:t xml:space="preserve">4.2 Information Barriers and Segregation of Duties</w:t>
      </w:r>
    </w:p>
    <w:p w:rsidR="00000000" w:rsidDel="00000000" w:rsidP="00000000" w:rsidRDefault="00000000" w:rsidRPr="00000000" w14:paraId="000000DD">
      <w:pPr>
        <w:ind w:left="1440" w:firstLine="0"/>
        <w:rPr/>
      </w:pPr>
      <w:r w:rsidDel="00000000" w:rsidR="00000000" w:rsidRPr="00000000">
        <w:rPr>
          <w:rtl w:val="0"/>
        </w:rPr>
        <w:t xml:space="preserve">To prevent undue influence or biased decision-making, the Firm maintains strict information barriers and segregation of duties across key business functions.</w:t>
      </w:r>
    </w:p>
    <w:p w:rsidR="00000000" w:rsidDel="00000000" w:rsidP="00000000" w:rsidRDefault="00000000" w:rsidRPr="00000000" w14:paraId="000000DE">
      <w:pPr>
        <w:ind w:left="1440" w:firstLine="0"/>
        <w:rPr/>
      </w:pPr>
      <w:r w:rsidDel="00000000" w:rsidR="00000000" w:rsidRPr="00000000">
        <w:rPr>
          <w:rtl w:val="0"/>
        </w:rPr>
        <w:t xml:space="preserve">Key Measures Include:</w:t>
      </w:r>
    </w:p>
    <w:p w:rsidR="00000000" w:rsidDel="00000000" w:rsidP="00000000" w:rsidRDefault="00000000" w:rsidRPr="00000000" w14:paraId="000000DF">
      <w:pPr>
        <w:numPr>
          <w:ilvl w:val="0"/>
          <w:numId w:val="21"/>
        </w:numPr>
        <w:spacing w:after="0" w:afterAutospacing="0"/>
        <w:ind w:left="2160" w:hanging="360"/>
        <w:rPr>
          <w:color w:val="000000"/>
        </w:rPr>
      </w:pPr>
      <w:r w:rsidDel="00000000" w:rsidR="00000000" w:rsidRPr="00000000">
        <w:rPr>
          <w:rtl w:val="0"/>
        </w:rPr>
        <w:t xml:space="preserve">Physical and System-Based Barriers – Restricting access to customer data, financial arrangements, and credit decision-making processes based on job roles.</w:t>
      </w:r>
    </w:p>
    <w:p w:rsidR="00000000" w:rsidDel="00000000" w:rsidP="00000000" w:rsidRDefault="00000000" w:rsidRPr="00000000" w14:paraId="000000E0">
      <w:pPr>
        <w:numPr>
          <w:ilvl w:val="0"/>
          <w:numId w:val="21"/>
        </w:numPr>
        <w:spacing w:after="0" w:afterAutospacing="0" w:before="0" w:beforeAutospacing="0"/>
        <w:ind w:left="2160" w:hanging="360"/>
        <w:rPr>
          <w:color w:val="000000"/>
        </w:rPr>
      </w:pPr>
      <w:r w:rsidDel="00000000" w:rsidR="00000000" w:rsidRPr="00000000">
        <w:rPr>
          <w:rtl w:val="0"/>
        </w:rPr>
        <w:t xml:space="preserve">Role-Based Access Controls (RBAC) ensure that employees have access only to the information necessary for their specific role, thereby preventing conflicts between sales, underwriting, and compliance teams.</w:t>
      </w:r>
    </w:p>
    <w:p w:rsidR="00000000" w:rsidDel="00000000" w:rsidP="00000000" w:rsidRDefault="00000000" w:rsidRPr="00000000" w14:paraId="000000E1">
      <w:pPr>
        <w:numPr>
          <w:ilvl w:val="0"/>
          <w:numId w:val="21"/>
        </w:numPr>
        <w:spacing w:after="0" w:afterAutospacing="0" w:before="0" w:beforeAutospacing="0"/>
        <w:ind w:left="2160" w:hanging="360"/>
        <w:rPr>
          <w:color w:val="000000"/>
        </w:rPr>
      </w:pPr>
      <w:r w:rsidDel="00000000" w:rsidR="00000000" w:rsidRPr="00000000">
        <w:rPr>
          <w:rtl w:val="0"/>
        </w:rPr>
        <w:t xml:space="preserve">Independent Approval Processes – Major credit decisions, customer affordability assessments, and high-risk transactions require review and approval by independent parties.</w:t>
      </w:r>
    </w:p>
    <w:p w:rsidR="00000000" w:rsidDel="00000000" w:rsidP="00000000" w:rsidRDefault="00000000" w:rsidRPr="00000000" w14:paraId="000000E2">
      <w:pPr>
        <w:numPr>
          <w:ilvl w:val="0"/>
          <w:numId w:val="21"/>
        </w:numPr>
        <w:spacing w:after="0" w:afterAutospacing="0" w:before="0" w:beforeAutospacing="0"/>
        <w:ind w:left="2160" w:hanging="360"/>
        <w:rPr>
          <w:color w:val="000000"/>
        </w:rPr>
      </w:pPr>
      <w:r w:rsidDel="00000000" w:rsidR="00000000" w:rsidRPr="00000000">
        <w:rPr>
          <w:rtl w:val="0"/>
        </w:rPr>
        <w:t xml:space="preserve">Prohibition of Cross-Departmental Influence – Employees in sales, marketing, or external partnerships are restricted from influencing lending decisions or credit assessments.</w:t>
      </w:r>
    </w:p>
    <w:p w:rsidR="00000000" w:rsidDel="00000000" w:rsidP="00000000" w:rsidRDefault="00000000" w:rsidRPr="00000000" w14:paraId="000000E3">
      <w:pPr>
        <w:numPr>
          <w:ilvl w:val="0"/>
          <w:numId w:val="21"/>
        </w:numPr>
        <w:spacing w:before="0" w:beforeAutospacing="0"/>
        <w:ind w:left="2160" w:hanging="360"/>
        <w:rPr>
          <w:color w:val="000000"/>
        </w:rPr>
      </w:pPr>
      <w:r w:rsidDel="00000000" w:rsidR="00000000" w:rsidRPr="00000000">
        <w:rPr>
          <w:rtl w:val="0"/>
        </w:rPr>
        <w:t xml:space="preserve">Clear Decision-Making Frameworks – Ensuring that no single individual has sole authority over customer outcomes, financial agreements, or third-party contracts.</w:t>
      </w:r>
    </w:p>
    <w:p w:rsidR="00000000" w:rsidDel="00000000" w:rsidP="00000000" w:rsidRDefault="00000000" w:rsidRPr="00000000" w14:paraId="000000E4">
      <w:pPr>
        <w:ind w:left="1440" w:firstLine="0"/>
        <w:rPr/>
      </w:pPr>
      <w:r w:rsidDel="00000000" w:rsidR="00000000" w:rsidRPr="00000000">
        <w:rPr>
          <w:rtl w:val="0"/>
        </w:rPr>
        <w:t xml:space="preserve">These measures ensure that commercial interests do not compromise regulatory obligations, client interests, or fair treatment.</w:t>
      </w:r>
    </w:p>
    <w:p w:rsidR="00000000" w:rsidDel="00000000" w:rsidP="00000000" w:rsidRDefault="00000000" w:rsidRPr="00000000" w14:paraId="000000E5">
      <w:pPr>
        <w:pStyle w:val="Heading2"/>
        <w:ind w:left="1440" w:firstLine="0"/>
        <w:rPr/>
      </w:pPr>
      <w:bookmarkStart w:colFirst="0" w:colLast="0" w:name="_7j5pfasoid2z" w:id="25"/>
      <w:bookmarkEnd w:id="25"/>
      <w:r w:rsidDel="00000000" w:rsidR="00000000" w:rsidRPr="00000000">
        <w:rPr>
          <w:rtl w:val="0"/>
        </w:rPr>
        <w:t xml:space="preserve">4.3 Staff Remuneration and Incentives Controls</w:t>
      </w:r>
    </w:p>
    <w:p w:rsidR="00000000" w:rsidDel="00000000" w:rsidP="00000000" w:rsidRDefault="00000000" w:rsidRPr="00000000" w14:paraId="000000E6">
      <w:pPr>
        <w:ind w:left="1440" w:firstLine="0"/>
        <w:rPr/>
      </w:pPr>
      <w:r w:rsidDel="00000000" w:rsidR="00000000" w:rsidRPr="00000000">
        <w:rPr>
          <w:rtl w:val="0"/>
        </w:rPr>
        <w:t xml:space="preserve">The Firm acknowledges that poorly structured remuneration schemes can create conflicts of interest, particularly in consumer credit firms where sales-driven incentives may prioritise revenue over customer affordability.</w:t>
      </w:r>
    </w:p>
    <w:p w:rsidR="00000000" w:rsidDel="00000000" w:rsidP="00000000" w:rsidRDefault="00000000" w:rsidRPr="00000000" w14:paraId="000000E7">
      <w:pPr>
        <w:ind w:left="1440" w:firstLine="0"/>
        <w:rPr/>
      </w:pPr>
      <w:r w:rsidDel="00000000" w:rsidR="00000000" w:rsidRPr="00000000">
        <w:rPr>
          <w:rtl w:val="0"/>
        </w:rPr>
        <w:t xml:space="preserve">To prevent conflicts arising from remuneration and incentives, the Firm ensures:</w:t>
      </w:r>
    </w:p>
    <w:p w:rsidR="00000000" w:rsidDel="00000000" w:rsidP="00000000" w:rsidRDefault="00000000" w:rsidRPr="00000000" w14:paraId="000000E8">
      <w:pPr>
        <w:numPr>
          <w:ilvl w:val="0"/>
          <w:numId w:val="34"/>
        </w:numPr>
        <w:spacing w:after="0" w:afterAutospacing="0"/>
        <w:ind w:left="2160" w:hanging="360"/>
        <w:rPr>
          <w:color w:val="000000"/>
        </w:rPr>
      </w:pPr>
      <w:r w:rsidDel="00000000" w:rsidR="00000000" w:rsidRPr="00000000">
        <w:rPr>
          <w:rtl w:val="0"/>
        </w:rPr>
        <w:t xml:space="preserve">Fixed Salaries Over Commission-Based Pay – Staff remuneration is not solely dependent on sales targets, reducing pressure to prioritise revenue over fair customer outcomes.</w:t>
      </w:r>
    </w:p>
    <w:p w:rsidR="00000000" w:rsidDel="00000000" w:rsidP="00000000" w:rsidRDefault="00000000" w:rsidRPr="00000000" w14:paraId="000000E9">
      <w:pPr>
        <w:numPr>
          <w:ilvl w:val="0"/>
          <w:numId w:val="34"/>
        </w:numPr>
        <w:spacing w:after="0" w:afterAutospacing="0" w:before="0" w:beforeAutospacing="0"/>
        <w:ind w:left="2160" w:hanging="360"/>
        <w:rPr>
          <w:color w:val="000000"/>
        </w:rPr>
      </w:pPr>
      <w:r w:rsidDel="00000000" w:rsidR="00000000" w:rsidRPr="00000000">
        <w:rPr>
          <w:rtl w:val="0"/>
        </w:rPr>
        <w:t xml:space="preserve">Balanced Performance Metrics – Employee performance assessments are based on customer satisfaction, adherence to compliance, and the quality of service, rather than financial gain.</w:t>
      </w:r>
    </w:p>
    <w:p w:rsidR="00000000" w:rsidDel="00000000" w:rsidP="00000000" w:rsidRDefault="00000000" w:rsidRPr="00000000" w14:paraId="000000EA">
      <w:pPr>
        <w:numPr>
          <w:ilvl w:val="0"/>
          <w:numId w:val="34"/>
        </w:numPr>
        <w:spacing w:after="0" w:afterAutospacing="0" w:before="0" w:beforeAutospacing="0"/>
        <w:ind w:left="2160" w:hanging="360"/>
        <w:rPr>
          <w:color w:val="000000"/>
        </w:rPr>
      </w:pPr>
      <w:r w:rsidDel="00000000" w:rsidR="00000000" w:rsidRPr="00000000">
        <w:rPr>
          <w:rtl w:val="0"/>
        </w:rPr>
        <w:t xml:space="preserve">Strict Monitoring of Incentives – Senior management and compliance teams review any commission, bonus, or performance-based incentive to ensure it does not create undue pressure or influence.</w:t>
      </w:r>
    </w:p>
    <w:p w:rsidR="00000000" w:rsidDel="00000000" w:rsidP="00000000" w:rsidRDefault="00000000" w:rsidRPr="00000000" w14:paraId="000000EB">
      <w:pPr>
        <w:numPr>
          <w:ilvl w:val="0"/>
          <w:numId w:val="34"/>
        </w:numPr>
        <w:spacing w:after="0" w:afterAutospacing="0" w:before="0" w:beforeAutospacing="0"/>
        <w:ind w:left="2160" w:hanging="360"/>
        <w:rPr>
          <w:color w:val="000000"/>
        </w:rPr>
      </w:pPr>
      <w:r w:rsidDel="00000000" w:rsidR="00000000" w:rsidRPr="00000000">
        <w:rPr>
          <w:rtl w:val="0"/>
        </w:rPr>
        <w:t xml:space="preserve">Prohibition of High-Risk Sales Practices – Employees are prohibited from:</w:t>
      </w:r>
    </w:p>
    <w:p w:rsidR="00000000" w:rsidDel="00000000" w:rsidP="00000000" w:rsidRDefault="00000000" w:rsidRPr="00000000" w14:paraId="000000EC">
      <w:pPr>
        <w:numPr>
          <w:ilvl w:val="1"/>
          <w:numId w:val="34"/>
        </w:numPr>
        <w:spacing w:after="0" w:afterAutospacing="0" w:before="0" w:beforeAutospacing="0"/>
        <w:ind w:left="2880" w:hanging="360"/>
        <w:rPr>
          <w:color w:val="000000"/>
        </w:rPr>
      </w:pPr>
      <w:r w:rsidDel="00000000" w:rsidR="00000000" w:rsidRPr="00000000">
        <w:rPr>
          <w:rtl w:val="0"/>
        </w:rPr>
        <w:t xml:space="preserve">Pushing unaffordable credit onto consumers.</w:t>
      </w:r>
    </w:p>
    <w:p w:rsidR="00000000" w:rsidDel="00000000" w:rsidP="00000000" w:rsidRDefault="00000000" w:rsidRPr="00000000" w14:paraId="000000ED">
      <w:pPr>
        <w:numPr>
          <w:ilvl w:val="1"/>
          <w:numId w:val="34"/>
        </w:numPr>
        <w:spacing w:after="0" w:afterAutospacing="0" w:before="0" w:beforeAutospacing="0"/>
        <w:ind w:left="2880" w:hanging="360"/>
        <w:rPr>
          <w:color w:val="000000"/>
        </w:rPr>
      </w:pPr>
      <w:r w:rsidDel="00000000" w:rsidR="00000000" w:rsidRPr="00000000">
        <w:rPr>
          <w:rtl w:val="0"/>
        </w:rPr>
        <w:t xml:space="preserve">Offering misleading information to encourage borrowing.</w:t>
      </w:r>
    </w:p>
    <w:p w:rsidR="00000000" w:rsidDel="00000000" w:rsidP="00000000" w:rsidRDefault="00000000" w:rsidRPr="00000000" w14:paraId="000000EE">
      <w:pPr>
        <w:numPr>
          <w:ilvl w:val="1"/>
          <w:numId w:val="34"/>
        </w:numPr>
        <w:spacing w:after="0" w:afterAutospacing="0" w:before="0" w:beforeAutospacing="0"/>
        <w:ind w:left="2880" w:hanging="360"/>
        <w:rPr>
          <w:color w:val="000000"/>
        </w:rPr>
      </w:pPr>
      <w:r w:rsidDel="00000000" w:rsidR="00000000" w:rsidRPr="00000000">
        <w:rPr>
          <w:rtl w:val="0"/>
        </w:rPr>
        <w:t xml:space="preserve">Prioritising high-commission products over customer needs.</w:t>
      </w:r>
    </w:p>
    <w:p w:rsidR="00000000" w:rsidDel="00000000" w:rsidP="00000000" w:rsidRDefault="00000000" w:rsidRPr="00000000" w14:paraId="000000EF">
      <w:pPr>
        <w:numPr>
          <w:ilvl w:val="0"/>
          <w:numId w:val="34"/>
        </w:numPr>
        <w:spacing w:before="0" w:beforeAutospacing="0"/>
        <w:ind w:left="2160" w:hanging="360"/>
        <w:rPr>
          <w:color w:val="000000"/>
        </w:rPr>
      </w:pPr>
      <w:r w:rsidDel="00000000" w:rsidR="00000000" w:rsidRPr="00000000">
        <w:rPr>
          <w:rtl w:val="0"/>
        </w:rPr>
        <w:t xml:space="preserve">Regular Training on Ethical Sales Practices—Staff receive mandatory training on fair customer treatment, affordability assessments, and conflicts of interest in remuneration.</w:t>
      </w:r>
    </w:p>
    <w:p w:rsidR="00000000" w:rsidDel="00000000" w:rsidP="00000000" w:rsidRDefault="00000000" w:rsidRPr="00000000" w14:paraId="000000F0">
      <w:pPr>
        <w:ind w:left="1440" w:firstLine="0"/>
        <w:rPr/>
      </w:pPr>
      <w:r w:rsidDel="00000000" w:rsidR="00000000" w:rsidRPr="00000000">
        <w:rPr>
          <w:rtl w:val="0"/>
        </w:rPr>
        <w:t xml:space="preserve">By embedding ethical pay structures and balanced incentives, the Firm ensures that employees act in clients’ best interests rather than financial targets.</w:t>
      </w:r>
    </w:p>
    <w:p w:rsidR="00000000" w:rsidDel="00000000" w:rsidP="00000000" w:rsidRDefault="00000000" w:rsidRPr="00000000" w14:paraId="000000F1">
      <w:pPr>
        <w:pStyle w:val="Heading2"/>
        <w:ind w:left="1440" w:firstLine="0"/>
        <w:rPr/>
      </w:pPr>
      <w:bookmarkStart w:colFirst="0" w:colLast="0" w:name="_uee9gktkqt01" w:id="26"/>
      <w:bookmarkEnd w:id="26"/>
      <w:r w:rsidDel="00000000" w:rsidR="00000000" w:rsidRPr="00000000">
        <w:rPr>
          <w:rtl w:val="0"/>
        </w:rPr>
        <w:t xml:space="preserve">4.4 Disclosure Requirements and Client Communication</w:t>
      </w:r>
    </w:p>
    <w:p w:rsidR="00000000" w:rsidDel="00000000" w:rsidP="00000000" w:rsidRDefault="00000000" w:rsidRPr="00000000" w14:paraId="000000F2">
      <w:pPr>
        <w:ind w:left="1440" w:firstLine="0"/>
        <w:rPr/>
      </w:pPr>
      <w:r w:rsidDel="00000000" w:rsidR="00000000" w:rsidRPr="00000000">
        <w:rPr>
          <w:rtl w:val="0"/>
        </w:rPr>
        <w:t xml:space="preserve">Where conflicts of interest cannot be entirely prevented, the Firm must provide affected customers with transparent, fair, and non-misleading disclosures.</w:t>
      </w:r>
    </w:p>
    <w:p w:rsidR="00000000" w:rsidDel="00000000" w:rsidP="00000000" w:rsidRDefault="00000000" w:rsidRPr="00000000" w14:paraId="000000F3">
      <w:pPr>
        <w:ind w:left="1440" w:firstLine="0"/>
        <w:rPr/>
      </w:pPr>
      <w:r w:rsidDel="00000000" w:rsidR="00000000" w:rsidRPr="00000000">
        <w:rPr>
          <w:rtl w:val="0"/>
        </w:rPr>
        <w:t xml:space="preserve">Key Disclosure Requirements:</w:t>
      </w:r>
    </w:p>
    <w:p w:rsidR="00000000" w:rsidDel="00000000" w:rsidP="00000000" w:rsidRDefault="00000000" w:rsidRPr="00000000" w14:paraId="000000F4">
      <w:pPr>
        <w:numPr>
          <w:ilvl w:val="0"/>
          <w:numId w:val="28"/>
        </w:numPr>
        <w:spacing w:after="0" w:afterAutospacing="0"/>
        <w:ind w:left="2160" w:hanging="360"/>
        <w:rPr>
          <w:color w:val="000000"/>
        </w:rPr>
      </w:pPr>
      <w:r w:rsidDel="00000000" w:rsidR="00000000" w:rsidRPr="00000000">
        <w:rPr>
          <w:rtl w:val="0"/>
        </w:rPr>
        <w:t xml:space="preserve">Transparent Client Communication – Customers must be informed of any conflicts that may impact their financial decision-making.</w:t>
      </w:r>
    </w:p>
    <w:p w:rsidR="00000000" w:rsidDel="00000000" w:rsidP="00000000" w:rsidRDefault="00000000" w:rsidRPr="00000000" w14:paraId="000000F5">
      <w:pPr>
        <w:numPr>
          <w:ilvl w:val="0"/>
          <w:numId w:val="28"/>
        </w:numPr>
        <w:spacing w:after="0" w:afterAutospacing="0" w:before="0" w:beforeAutospacing="0"/>
        <w:ind w:left="2160" w:hanging="360"/>
        <w:rPr>
          <w:color w:val="000000"/>
        </w:rPr>
      </w:pPr>
      <w:r w:rsidDel="00000000" w:rsidR="00000000" w:rsidRPr="00000000">
        <w:rPr>
          <w:rtl w:val="0"/>
        </w:rPr>
        <w:t xml:space="preserve">Pre-Sale Disclosure of Fees and Commissions: Before finalising a transaction, the firm must disclose any third-party relationships, referral fees, or commissions received.</w:t>
      </w:r>
    </w:p>
    <w:p w:rsidR="00000000" w:rsidDel="00000000" w:rsidP="00000000" w:rsidRDefault="00000000" w:rsidRPr="00000000" w14:paraId="000000F6">
      <w:pPr>
        <w:numPr>
          <w:ilvl w:val="0"/>
          <w:numId w:val="28"/>
        </w:numPr>
        <w:spacing w:after="0" w:afterAutospacing="0" w:before="0" w:beforeAutospacing="0"/>
        <w:ind w:left="2160" w:hanging="360"/>
        <w:rPr>
          <w:color w:val="000000"/>
        </w:rPr>
      </w:pPr>
      <w:r w:rsidDel="00000000" w:rsidR="00000000" w:rsidRPr="00000000">
        <w:rPr>
          <w:rtl w:val="0"/>
        </w:rPr>
        <w:t xml:space="preserve">Plain-Language Explanations – To ensure customer understanding, disclosures must be written in plain English, avoiding technical jargon.</w:t>
      </w:r>
    </w:p>
    <w:p w:rsidR="00000000" w:rsidDel="00000000" w:rsidP="00000000" w:rsidRDefault="00000000" w:rsidRPr="00000000" w14:paraId="000000F7">
      <w:pPr>
        <w:numPr>
          <w:ilvl w:val="0"/>
          <w:numId w:val="28"/>
        </w:numPr>
        <w:spacing w:after="0" w:afterAutospacing="0" w:before="0" w:beforeAutospacing="0"/>
        <w:ind w:left="2160" w:hanging="360"/>
        <w:rPr>
          <w:color w:val="000000"/>
        </w:rPr>
      </w:pPr>
      <w:r w:rsidDel="00000000" w:rsidR="00000000" w:rsidRPr="00000000">
        <w:rPr>
          <w:rtl w:val="0"/>
        </w:rPr>
        <w:t xml:space="preserve">Disclosure of Preferential Relationships – Customers must be informed of any potential conflicts of interest if the Firm has a preferred lender, broker, or product arrangement.</w:t>
      </w:r>
    </w:p>
    <w:p w:rsidR="00000000" w:rsidDel="00000000" w:rsidP="00000000" w:rsidRDefault="00000000" w:rsidRPr="00000000" w14:paraId="000000F8">
      <w:pPr>
        <w:numPr>
          <w:ilvl w:val="0"/>
          <w:numId w:val="28"/>
        </w:numPr>
        <w:spacing w:before="0" w:beforeAutospacing="0"/>
        <w:ind w:left="2160" w:hanging="360"/>
        <w:rPr>
          <w:color w:val="000000"/>
        </w:rPr>
      </w:pPr>
      <w:r w:rsidDel="00000000" w:rsidR="00000000" w:rsidRPr="00000000">
        <w:rPr>
          <w:rtl w:val="0"/>
        </w:rPr>
        <w:t xml:space="preserve">Customer Right to Decline – Where a disclosed conflict exists, customers must be allowed to seek independent advice or decline the service.</w:t>
      </w:r>
    </w:p>
    <w:p w:rsidR="00000000" w:rsidDel="00000000" w:rsidP="00000000" w:rsidRDefault="00000000" w:rsidRPr="00000000" w14:paraId="000000F9">
      <w:pPr>
        <w:ind w:left="1440" w:firstLine="0"/>
        <w:rPr/>
      </w:pPr>
      <w:r w:rsidDel="00000000" w:rsidR="00000000" w:rsidRPr="00000000">
        <w:rPr>
          <w:rtl w:val="0"/>
        </w:rPr>
        <w:t xml:space="preserve">The Firm maintains records of all disclosures within customer files and ensures that compliance teams regularly review and audit customer communications to uphold regulatory standards.</w:t>
      </w:r>
    </w:p>
    <w:p w:rsidR="00000000" w:rsidDel="00000000" w:rsidP="00000000" w:rsidRDefault="00000000" w:rsidRPr="00000000" w14:paraId="000000FA">
      <w:pPr>
        <w:pStyle w:val="Heading2"/>
        <w:ind w:left="1440" w:firstLine="0"/>
        <w:rPr/>
      </w:pPr>
      <w:bookmarkStart w:colFirst="0" w:colLast="0" w:name="_8v64rbut67kl" w:id="27"/>
      <w:bookmarkEnd w:id="27"/>
      <w:r w:rsidDel="00000000" w:rsidR="00000000" w:rsidRPr="00000000">
        <w:rPr>
          <w:rtl w:val="0"/>
        </w:rPr>
        <w:t xml:space="preserve">4.5 Recusal and Removal from Decision-Making</w:t>
      </w:r>
    </w:p>
    <w:p w:rsidR="00000000" w:rsidDel="00000000" w:rsidP="00000000" w:rsidRDefault="00000000" w:rsidRPr="00000000" w14:paraId="000000FB">
      <w:pPr>
        <w:ind w:left="1440" w:firstLine="0"/>
        <w:rPr/>
      </w:pPr>
      <w:r w:rsidDel="00000000" w:rsidR="00000000" w:rsidRPr="00000000">
        <w:rPr>
          <w:rtl w:val="0"/>
        </w:rPr>
        <w:t xml:space="preserve">When a conflict of interest is identified and cannot be effectively mitigated by other measures, affected individuals must be removed from decision-making processes.</w:t>
      </w:r>
    </w:p>
    <w:p w:rsidR="00000000" w:rsidDel="00000000" w:rsidP="00000000" w:rsidRDefault="00000000" w:rsidRPr="00000000" w14:paraId="000000FC">
      <w:pPr>
        <w:ind w:left="1440" w:firstLine="0"/>
        <w:rPr/>
      </w:pPr>
      <w:r w:rsidDel="00000000" w:rsidR="00000000" w:rsidRPr="00000000">
        <w:rPr>
          <w:rtl w:val="0"/>
        </w:rPr>
        <w:t xml:space="preserve">Recusal and Removal Procedures:</w:t>
      </w:r>
    </w:p>
    <w:p w:rsidR="00000000" w:rsidDel="00000000" w:rsidP="00000000" w:rsidRDefault="00000000" w:rsidRPr="00000000" w14:paraId="000000FD">
      <w:pPr>
        <w:numPr>
          <w:ilvl w:val="0"/>
          <w:numId w:val="16"/>
        </w:numPr>
        <w:spacing w:after="0" w:afterAutospacing="0"/>
        <w:ind w:left="2160" w:hanging="360"/>
        <w:rPr>
          <w:color w:val="000000"/>
        </w:rPr>
      </w:pPr>
      <w:r w:rsidDel="00000000" w:rsidR="00000000" w:rsidRPr="00000000">
        <w:rPr>
          <w:rtl w:val="0"/>
        </w:rPr>
        <w:t xml:space="preserve">Immediate Disclosure to Senior Management – Any employee with a financial, personal, or business interest in a transaction must declare it to the Compliance Officer or Risk Committee.</w:t>
      </w:r>
    </w:p>
    <w:p w:rsidR="00000000" w:rsidDel="00000000" w:rsidP="00000000" w:rsidRDefault="00000000" w:rsidRPr="00000000" w14:paraId="000000FE">
      <w:pPr>
        <w:numPr>
          <w:ilvl w:val="0"/>
          <w:numId w:val="16"/>
        </w:numPr>
        <w:spacing w:after="0" w:afterAutospacing="0" w:before="0" w:beforeAutospacing="0"/>
        <w:ind w:left="2160" w:hanging="360"/>
        <w:rPr>
          <w:color w:val="000000"/>
        </w:rPr>
      </w:pPr>
      <w:r w:rsidDel="00000000" w:rsidR="00000000" w:rsidRPr="00000000">
        <w:rPr>
          <w:rtl w:val="0"/>
        </w:rPr>
        <w:t xml:space="preserve">Automatic Removal from Related Activities – Employees or senior management with a declared conflict are prohibited from influencing related credit decisions, contracts, or financial arrangements.</w:t>
      </w:r>
    </w:p>
    <w:p w:rsidR="00000000" w:rsidDel="00000000" w:rsidP="00000000" w:rsidRDefault="00000000" w:rsidRPr="00000000" w14:paraId="000000FF">
      <w:pPr>
        <w:numPr>
          <w:ilvl w:val="0"/>
          <w:numId w:val="16"/>
        </w:numPr>
        <w:spacing w:after="0" w:afterAutospacing="0" w:before="0" w:beforeAutospacing="0"/>
        <w:ind w:left="2160" w:hanging="360"/>
        <w:rPr>
          <w:color w:val="000000"/>
        </w:rPr>
      </w:pPr>
      <w:r w:rsidDel="00000000" w:rsidR="00000000" w:rsidRPr="00000000">
        <w:rPr>
          <w:rtl w:val="0"/>
        </w:rPr>
        <w:t xml:space="preserve">Independent Oversight of High-Risk Conflicts – Where a significant conflict exists (e.g., a senior executive has ties to a lender), the matter must be escalated to the Board or Compliance Committee for oversight.</w:t>
      </w:r>
    </w:p>
    <w:p w:rsidR="00000000" w:rsidDel="00000000" w:rsidP="00000000" w:rsidRDefault="00000000" w:rsidRPr="00000000" w14:paraId="00000100">
      <w:pPr>
        <w:numPr>
          <w:ilvl w:val="0"/>
          <w:numId w:val="16"/>
        </w:numPr>
        <w:spacing w:after="0" w:afterAutospacing="0" w:before="0" w:beforeAutospacing="0"/>
        <w:ind w:left="2160" w:hanging="360"/>
        <w:rPr>
          <w:color w:val="000000"/>
        </w:rPr>
      </w:pPr>
      <w:r w:rsidDel="00000000" w:rsidR="00000000" w:rsidRPr="00000000">
        <w:rPr>
          <w:rtl w:val="0"/>
        </w:rPr>
        <w:t xml:space="preserve">Documented Justification and Action Plan – Any recusal or removal action must be recorded in the Conflicts of Interest Register, detailing:</w:t>
      </w:r>
    </w:p>
    <w:p w:rsidR="00000000" w:rsidDel="00000000" w:rsidP="00000000" w:rsidRDefault="00000000" w:rsidRPr="00000000" w14:paraId="00000101">
      <w:pPr>
        <w:numPr>
          <w:ilvl w:val="1"/>
          <w:numId w:val="16"/>
        </w:numPr>
        <w:spacing w:after="0" w:afterAutospacing="0" w:before="0" w:beforeAutospacing="0"/>
        <w:ind w:left="2880" w:hanging="360"/>
        <w:rPr>
          <w:color w:val="000000"/>
        </w:rPr>
      </w:pPr>
      <w:r w:rsidDel="00000000" w:rsidR="00000000" w:rsidRPr="00000000">
        <w:rPr>
          <w:rtl w:val="0"/>
        </w:rPr>
        <w:t xml:space="preserve">The nature of the conflict.</w:t>
      </w:r>
    </w:p>
    <w:p w:rsidR="00000000" w:rsidDel="00000000" w:rsidP="00000000" w:rsidRDefault="00000000" w:rsidRPr="00000000" w14:paraId="00000102">
      <w:pPr>
        <w:numPr>
          <w:ilvl w:val="1"/>
          <w:numId w:val="16"/>
        </w:numPr>
        <w:spacing w:after="0" w:afterAutospacing="0" w:before="0" w:beforeAutospacing="0"/>
        <w:ind w:left="2880" w:hanging="360"/>
        <w:rPr>
          <w:color w:val="000000"/>
        </w:rPr>
      </w:pPr>
      <w:r w:rsidDel="00000000" w:rsidR="00000000" w:rsidRPr="00000000">
        <w:rPr>
          <w:rtl w:val="0"/>
        </w:rPr>
        <w:t xml:space="preserve">The actions taken to mitigate risk.</w:t>
      </w:r>
    </w:p>
    <w:p w:rsidR="00000000" w:rsidDel="00000000" w:rsidP="00000000" w:rsidRDefault="00000000" w:rsidRPr="00000000" w14:paraId="00000103">
      <w:pPr>
        <w:numPr>
          <w:ilvl w:val="1"/>
          <w:numId w:val="16"/>
        </w:numPr>
        <w:spacing w:after="0" w:afterAutospacing="0" w:before="0" w:beforeAutospacing="0"/>
        <w:ind w:left="2880" w:hanging="360"/>
        <w:rPr>
          <w:color w:val="000000"/>
        </w:rPr>
      </w:pPr>
      <w:r w:rsidDel="00000000" w:rsidR="00000000" w:rsidRPr="00000000">
        <w:rPr>
          <w:rtl w:val="0"/>
        </w:rPr>
        <w:t xml:space="preserve">Alternative decision-makers are assigned to the matter.</w:t>
      </w:r>
    </w:p>
    <w:p w:rsidR="00000000" w:rsidDel="00000000" w:rsidP="00000000" w:rsidRDefault="00000000" w:rsidRPr="00000000" w14:paraId="00000104">
      <w:pPr>
        <w:numPr>
          <w:ilvl w:val="0"/>
          <w:numId w:val="16"/>
        </w:numPr>
        <w:spacing w:before="0" w:beforeAutospacing="0"/>
        <w:ind w:left="2160" w:hanging="360"/>
        <w:rPr>
          <w:color w:val="000000"/>
        </w:rPr>
      </w:pPr>
      <w:r w:rsidDel="00000000" w:rsidR="00000000" w:rsidRPr="00000000">
        <w:rPr>
          <w:rtl w:val="0"/>
        </w:rPr>
        <w:t xml:space="preserve">Rotation of Key Roles to Prevent Conflicts—Staff in high-risk areas (e.g., credit approval sales) are periodically rotated to prevent the build-up of entrenched conflicts.</w:t>
      </w:r>
    </w:p>
    <w:p w:rsidR="00000000" w:rsidDel="00000000" w:rsidP="00000000" w:rsidRDefault="00000000" w:rsidRPr="00000000" w14:paraId="00000105">
      <w:pPr>
        <w:ind w:left="1440" w:firstLine="0"/>
        <w:rPr/>
      </w:pPr>
      <w:r w:rsidDel="00000000" w:rsidR="00000000" w:rsidRPr="00000000">
        <w:rPr>
          <w:rtl w:val="0"/>
        </w:rPr>
        <w:t xml:space="preserve">Where an individual fails to disclose a conflict, disciplinary action may range from formal warnings to termination, depending on the severity of the conflict.</w:t>
      </w:r>
    </w:p>
    <w:p w:rsidR="00000000" w:rsidDel="00000000" w:rsidP="00000000" w:rsidRDefault="00000000" w:rsidRPr="00000000" w14:paraId="00000106">
      <w:pPr>
        <w:pStyle w:val="Heading1"/>
        <w:rPr/>
      </w:pPr>
      <w:bookmarkStart w:colFirst="0" w:colLast="0" w:name="_3arjvi20js9z" w:id="28"/>
      <w:bookmarkEnd w:id="28"/>
      <w:r w:rsidDel="00000000" w:rsidR="00000000" w:rsidRPr="00000000">
        <w:rPr>
          <w:rtl w:val="0"/>
        </w:rPr>
        <w:t xml:space="preserve">5. Record-keeping and Governance</w:t>
      </w:r>
    </w:p>
    <w:p w:rsidR="00000000" w:rsidDel="00000000" w:rsidP="00000000" w:rsidRDefault="00000000" w:rsidRPr="00000000" w14:paraId="00000107">
      <w:pPr>
        <w:pStyle w:val="Heading2"/>
        <w:ind w:left="1440" w:firstLine="0"/>
        <w:rPr/>
      </w:pPr>
      <w:bookmarkStart w:colFirst="0" w:colLast="0" w:name="_4uaakzu0qz9" w:id="29"/>
      <w:bookmarkEnd w:id="29"/>
      <w:r w:rsidDel="00000000" w:rsidR="00000000" w:rsidRPr="00000000">
        <w:rPr>
          <w:rtl w:val="0"/>
        </w:rPr>
        <w:t xml:space="preserve">5.1 Maintaining a Conflict of Interest Register</w:t>
      </w:r>
    </w:p>
    <w:p w:rsidR="00000000" w:rsidDel="00000000" w:rsidP="00000000" w:rsidRDefault="00000000" w:rsidRPr="00000000" w14:paraId="00000108">
      <w:pPr>
        <w:ind w:left="1440" w:firstLine="0"/>
        <w:rPr/>
      </w:pPr>
      <w:r w:rsidDel="00000000" w:rsidR="00000000" w:rsidRPr="00000000">
        <w:rPr>
          <w:rtl w:val="0"/>
        </w:rPr>
        <w:t xml:space="preserve">The Firm is required to maintain a Conflicts of Interest Register to document all identified conflicts, the associated risks, and the measures taken to mitigate them. The purpose of the register is to ensure accountability, transparency, and regulatory compliance in managing conflicts of interest, as mandated by SYSC 10 of the FCA Handbook.</w:t>
      </w:r>
    </w:p>
    <w:p w:rsidR="00000000" w:rsidDel="00000000" w:rsidP="00000000" w:rsidRDefault="00000000" w:rsidRPr="00000000" w14:paraId="00000109">
      <w:pPr>
        <w:ind w:left="1440" w:firstLine="0"/>
        <w:rPr/>
      </w:pPr>
      <w:r w:rsidDel="00000000" w:rsidR="00000000" w:rsidRPr="00000000">
        <w:rPr>
          <w:rtl w:val="0"/>
        </w:rPr>
        <w:t xml:space="preserve">Key Requirements of the Register:</w:t>
      </w:r>
    </w:p>
    <w:p w:rsidR="00000000" w:rsidDel="00000000" w:rsidP="00000000" w:rsidRDefault="00000000" w:rsidRPr="00000000" w14:paraId="0000010A">
      <w:pPr>
        <w:numPr>
          <w:ilvl w:val="0"/>
          <w:numId w:val="22"/>
        </w:numPr>
        <w:spacing w:after="0" w:afterAutospacing="0"/>
        <w:ind w:left="2160" w:hanging="360"/>
        <w:rPr>
          <w:color w:val="000000"/>
        </w:rPr>
      </w:pPr>
      <w:r w:rsidDel="00000000" w:rsidR="00000000" w:rsidRPr="00000000">
        <w:rPr>
          <w:rtl w:val="0"/>
        </w:rPr>
        <w:t xml:space="preserve">Recording of Identified Conflicts: Every actual, potential, or perceived conflict must be logged and categorised based on risk level and potential impact on customers or the Firm.</w:t>
      </w:r>
    </w:p>
    <w:p w:rsidR="00000000" w:rsidDel="00000000" w:rsidP="00000000" w:rsidRDefault="00000000" w:rsidRPr="00000000" w14:paraId="0000010B">
      <w:pPr>
        <w:numPr>
          <w:ilvl w:val="0"/>
          <w:numId w:val="22"/>
        </w:numPr>
        <w:spacing w:after="0" w:afterAutospacing="0" w:before="0" w:beforeAutospacing="0"/>
        <w:ind w:left="2160" w:hanging="360"/>
        <w:rPr>
          <w:color w:val="000000"/>
        </w:rPr>
      </w:pPr>
      <w:r w:rsidDel="00000000" w:rsidR="00000000" w:rsidRPr="00000000">
        <w:rPr>
          <w:rtl w:val="0"/>
        </w:rPr>
        <w:t xml:space="preserve">Details of the Conflict: Each entry must include:</w:t>
      </w:r>
    </w:p>
    <w:p w:rsidR="00000000" w:rsidDel="00000000" w:rsidP="00000000" w:rsidRDefault="00000000" w:rsidRPr="00000000" w14:paraId="0000010C">
      <w:pPr>
        <w:numPr>
          <w:ilvl w:val="1"/>
          <w:numId w:val="22"/>
        </w:numPr>
        <w:spacing w:after="0" w:afterAutospacing="0" w:before="0" w:beforeAutospacing="0"/>
        <w:ind w:left="2880" w:hanging="360"/>
        <w:rPr>
          <w:color w:val="000000"/>
        </w:rPr>
      </w:pPr>
      <w:r w:rsidDel="00000000" w:rsidR="00000000" w:rsidRPr="00000000">
        <w:rPr>
          <w:rtl w:val="0"/>
        </w:rPr>
        <w:t xml:space="preserve">The nature of the conflict.</w:t>
      </w:r>
    </w:p>
    <w:p w:rsidR="00000000" w:rsidDel="00000000" w:rsidP="00000000" w:rsidRDefault="00000000" w:rsidRPr="00000000" w14:paraId="0000010D">
      <w:pPr>
        <w:numPr>
          <w:ilvl w:val="1"/>
          <w:numId w:val="22"/>
        </w:numPr>
        <w:spacing w:after="0" w:afterAutospacing="0" w:before="0" w:beforeAutospacing="0"/>
        <w:ind w:left="2880" w:hanging="360"/>
        <w:rPr>
          <w:color w:val="000000"/>
        </w:rPr>
      </w:pPr>
      <w:r w:rsidDel="00000000" w:rsidR="00000000" w:rsidRPr="00000000">
        <w:rPr>
          <w:rtl w:val="0"/>
        </w:rPr>
        <w:t xml:space="preserve">The individuals or business areas involved.</w:t>
      </w:r>
    </w:p>
    <w:p w:rsidR="00000000" w:rsidDel="00000000" w:rsidP="00000000" w:rsidRDefault="00000000" w:rsidRPr="00000000" w14:paraId="0000010E">
      <w:pPr>
        <w:numPr>
          <w:ilvl w:val="1"/>
          <w:numId w:val="22"/>
        </w:numPr>
        <w:spacing w:after="0" w:afterAutospacing="0" w:before="0" w:beforeAutospacing="0"/>
        <w:ind w:left="2880" w:hanging="360"/>
        <w:rPr>
          <w:color w:val="000000"/>
        </w:rPr>
      </w:pPr>
      <w:r w:rsidDel="00000000" w:rsidR="00000000" w:rsidRPr="00000000">
        <w:rPr>
          <w:rtl w:val="0"/>
        </w:rPr>
        <w:t xml:space="preserve">The date the conflict was identified.</w:t>
      </w:r>
    </w:p>
    <w:p w:rsidR="00000000" w:rsidDel="00000000" w:rsidP="00000000" w:rsidRDefault="00000000" w:rsidRPr="00000000" w14:paraId="0000010F">
      <w:pPr>
        <w:numPr>
          <w:ilvl w:val="1"/>
          <w:numId w:val="22"/>
        </w:numPr>
        <w:spacing w:after="0" w:afterAutospacing="0" w:before="0" w:beforeAutospacing="0"/>
        <w:ind w:left="2880" w:hanging="360"/>
        <w:rPr>
          <w:color w:val="000000"/>
        </w:rPr>
      </w:pPr>
      <w:r w:rsidDel="00000000" w:rsidR="00000000" w:rsidRPr="00000000">
        <w:rPr>
          <w:rtl w:val="0"/>
        </w:rPr>
        <w:t xml:space="preserve">The regulatory and business risks are associated.</w:t>
      </w:r>
    </w:p>
    <w:p w:rsidR="00000000" w:rsidDel="00000000" w:rsidP="00000000" w:rsidRDefault="00000000" w:rsidRPr="00000000" w14:paraId="00000110">
      <w:pPr>
        <w:numPr>
          <w:ilvl w:val="0"/>
          <w:numId w:val="22"/>
        </w:numPr>
        <w:spacing w:after="0" w:afterAutospacing="0" w:before="0" w:beforeAutospacing="0"/>
        <w:ind w:left="2160" w:hanging="360"/>
        <w:rPr>
          <w:color w:val="000000"/>
        </w:rPr>
      </w:pPr>
      <w:r w:rsidDel="00000000" w:rsidR="00000000" w:rsidRPr="00000000">
        <w:rPr>
          <w:rtl w:val="0"/>
        </w:rPr>
        <w:t xml:space="preserve">Mitigation Actions: The register must detail the steps to manage or mitigate the conflict, such as implementing additional controls, making disclosures, or taking recusal measures.</w:t>
      </w:r>
    </w:p>
    <w:p w:rsidR="00000000" w:rsidDel="00000000" w:rsidP="00000000" w:rsidRDefault="00000000" w:rsidRPr="00000000" w14:paraId="00000111">
      <w:pPr>
        <w:numPr>
          <w:ilvl w:val="0"/>
          <w:numId w:val="22"/>
        </w:numPr>
        <w:spacing w:after="0" w:afterAutospacing="0" w:before="0" w:beforeAutospacing="0"/>
        <w:ind w:left="2160" w:hanging="360"/>
        <w:rPr>
          <w:color w:val="000000"/>
        </w:rPr>
      </w:pPr>
      <w:r w:rsidDel="00000000" w:rsidR="00000000" w:rsidRPr="00000000">
        <w:rPr>
          <w:rtl w:val="0"/>
        </w:rPr>
        <w:t xml:space="preserve">Regular Updates and Reviews: The register must be reviewed and updated periodically to reflect new conflicts, ongoing mitigation efforts, and lessons learned from past cases.</w:t>
      </w:r>
    </w:p>
    <w:p w:rsidR="00000000" w:rsidDel="00000000" w:rsidP="00000000" w:rsidRDefault="00000000" w:rsidRPr="00000000" w14:paraId="00000112">
      <w:pPr>
        <w:numPr>
          <w:ilvl w:val="0"/>
          <w:numId w:val="22"/>
        </w:numPr>
        <w:spacing w:before="0" w:beforeAutospacing="0"/>
        <w:ind w:left="2160" w:hanging="360"/>
        <w:rPr>
          <w:color w:val="000000"/>
        </w:rPr>
      </w:pPr>
      <w:r w:rsidDel="00000000" w:rsidR="00000000" w:rsidRPr="00000000">
        <w:rPr>
          <w:rtl w:val="0"/>
        </w:rPr>
        <w:t xml:space="preserve">Accessibility for Regulatory Audits: Upon request, the register must be made available to FCA for review to demonstrate compliance with regulatory obligations.</w:t>
      </w:r>
    </w:p>
    <w:p w:rsidR="00000000" w:rsidDel="00000000" w:rsidP="00000000" w:rsidRDefault="00000000" w:rsidRPr="00000000" w14:paraId="00000113">
      <w:pPr>
        <w:ind w:left="1440" w:firstLine="0"/>
        <w:rPr/>
      </w:pPr>
      <w:r w:rsidDel="00000000" w:rsidR="00000000" w:rsidRPr="00000000">
        <w:rPr>
          <w:rtl w:val="0"/>
        </w:rPr>
        <w:t xml:space="preserve">Oversight and Responsibility:</w:t>
      </w:r>
    </w:p>
    <w:p w:rsidR="00000000" w:rsidDel="00000000" w:rsidP="00000000" w:rsidRDefault="00000000" w:rsidRPr="00000000" w14:paraId="00000114">
      <w:pPr>
        <w:numPr>
          <w:ilvl w:val="0"/>
          <w:numId w:val="37"/>
        </w:numPr>
        <w:spacing w:after="0" w:afterAutospacing="0"/>
        <w:ind w:left="2160" w:hanging="360"/>
        <w:rPr>
          <w:color w:val="000000"/>
        </w:rPr>
      </w:pPr>
      <w:r w:rsidDel="00000000" w:rsidR="00000000" w:rsidRPr="00000000">
        <w:rPr>
          <w:rtl w:val="0"/>
        </w:rPr>
        <w:t xml:space="preserve">The Compliance Officer maintains the register and ensures conflicts are appropriately addressed.</w:t>
      </w:r>
    </w:p>
    <w:p w:rsidR="00000000" w:rsidDel="00000000" w:rsidP="00000000" w:rsidRDefault="00000000" w:rsidRPr="00000000" w14:paraId="00000115">
      <w:pPr>
        <w:numPr>
          <w:ilvl w:val="0"/>
          <w:numId w:val="37"/>
        </w:numPr>
        <w:spacing w:after="0" w:afterAutospacing="0" w:before="0" w:beforeAutospacing="0"/>
        <w:ind w:left="2160" w:hanging="360"/>
        <w:rPr>
          <w:color w:val="000000"/>
        </w:rPr>
      </w:pPr>
      <w:r w:rsidDel="00000000" w:rsidR="00000000" w:rsidRPr="00000000">
        <w:rPr>
          <w:rtl w:val="0"/>
        </w:rPr>
        <w:t xml:space="preserve">Senior management must regularly review the register to assess whether additional controls or governance measures are necessary.</w:t>
      </w:r>
    </w:p>
    <w:p w:rsidR="00000000" w:rsidDel="00000000" w:rsidP="00000000" w:rsidRDefault="00000000" w:rsidRPr="00000000" w14:paraId="00000116">
      <w:pPr>
        <w:numPr>
          <w:ilvl w:val="0"/>
          <w:numId w:val="37"/>
        </w:numPr>
        <w:spacing w:before="0" w:beforeAutospacing="0"/>
        <w:ind w:left="2160" w:hanging="360"/>
        <w:rPr>
          <w:color w:val="000000"/>
        </w:rPr>
      </w:pPr>
      <w:r w:rsidDel="00000000" w:rsidR="00000000" w:rsidRPr="00000000">
        <w:rPr>
          <w:rtl w:val="0"/>
        </w:rPr>
        <w:t xml:space="preserve">If a conflict cannot be effectively mitigated, the matter must be escalated to the Board or Risk Committee for further action.</w:t>
      </w:r>
    </w:p>
    <w:p w:rsidR="00000000" w:rsidDel="00000000" w:rsidP="00000000" w:rsidRDefault="00000000" w:rsidRPr="00000000" w14:paraId="00000117">
      <w:pPr>
        <w:ind w:left="1440" w:firstLine="0"/>
        <w:rPr/>
      </w:pPr>
      <w:r w:rsidDel="00000000" w:rsidR="00000000" w:rsidRPr="00000000">
        <w:rPr>
          <w:rtl w:val="0"/>
        </w:rPr>
        <w:t xml:space="preserve">By maintaining a comprehensive and up-to-date register, the Firm ensures that conflicts of interest are systematically identified, monitored, and addressed, prioritising customer fairness and regulatory integrity.</w:t>
      </w:r>
    </w:p>
    <w:p w:rsidR="00000000" w:rsidDel="00000000" w:rsidP="00000000" w:rsidRDefault="00000000" w:rsidRPr="00000000" w14:paraId="00000118">
      <w:pPr>
        <w:pStyle w:val="Heading2"/>
        <w:ind w:left="1440" w:firstLine="0"/>
        <w:rPr/>
      </w:pPr>
      <w:bookmarkStart w:colFirst="0" w:colLast="0" w:name="_rp6sofleqit1" w:id="30"/>
      <w:bookmarkEnd w:id="30"/>
      <w:r w:rsidDel="00000000" w:rsidR="00000000" w:rsidRPr="00000000">
        <w:rPr>
          <w:rtl w:val="0"/>
        </w:rPr>
        <w:t xml:space="preserve">5.2 Responsibilities of Senior Management and Compliance</w:t>
      </w:r>
    </w:p>
    <w:p w:rsidR="00000000" w:rsidDel="00000000" w:rsidP="00000000" w:rsidRDefault="00000000" w:rsidRPr="00000000" w14:paraId="00000119">
      <w:pPr>
        <w:ind w:left="1440" w:firstLine="0"/>
        <w:rPr/>
      </w:pPr>
      <w:r w:rsidDel="00000000" w:rsidR="00000000" w:rsidRPr="00000000">
        <w:rPr>
          <w:rtl w:val="0"/>
        </w:rPr>
        <w:t xml:space="preserve">Senior management and the compliance function are critical in ensuring that conflicts of interest are effectively managed across the Firm. Under SYSC 10.1.8R, firms must ensure that their senior leadership takes responsibility for embedding a culture of conflict management and regulatory compliance.</w:t>
      </w:r>
    </w:p>
    <w:p w:rsidR="00000000" w:rsidDel="00000000" w:rsidP="00000000" w:rsidRDefault="00000000" w:rsidRPr="00000000" w14:paraId="0000011A">
      <w:pPr>
        <w:ind w:left="1440" w:firstLine="0"/>
        <w:rPr/>
      </w:pPr>
      <w:r w:rsidDel="00000000" w:rsidR="00000000" w:rsidRPr="00000000">
        <w:rPr>
          <w:rtl w:val="0"/>
        </w:rPr>
        <w:t xml:space="preserve">Senior Management Responsibilities:</w:t>
      </w:r>
    </w:p>
    <w:p w:rsidR="00000000" w:rsidDel="00000000" w:rsidP="00000000" w:rsidRDefault="00000000" w:rsidRPr="00000000" w14:paraId="0000011B">
      <w:pPr>
        <w:numPr>
          <w:ilvl w:val="0"/>
          <w:numId w:val="33"/>
        </w:numPr>
        <w:spacing w:after="0" w:afterAutospacing="0"/>
        <w:ind w:left="2160" w:hanging="360"/>
        <w:rPr>
          <w:color w:val="000000"/>
        </w:rPr>
      </w:pPr>
      <w:r w:rsidDel="00000000" w:rsidR="00000000" w:rsidRPr="00000000">
        <w:rPr>
          <w:rtl w:val="0"/>
        </w:rPr>
        <w:t xml:space="preserve">Setting the Tone from the Top: Senior leadership must promote a culture of integrity, transparency, and ethical business conduct.</w:t>
      </w:r>
    </w:p>
    <w:p w:rsidR="00000000" w:rsidDel="00000000" w:rsidP="00000000" w:rsidRDefault="00000000" w:rsidRPr="00000000" w14:paraId="0000011C">
      <w:pPr>
        <w:numPr>
          <w:ilvl w:val="0"/>
          <w:numId w:val="33"/>
        </w:numPr>
        <w:spacing w:after="0" w:afterAutospacing="0" w:before="0" w:beforeAutospacing="0"/>
        <w:ind w:left="2160" w:hanging="360"/>
        <w:rPr>
          <w:color w:val="000000"/>
        </w:rPr>
      </w:pPr>
      <w:r w:rsidDel="00000000" w:rsidR="00000000" w:rsidRPr="00000000">
        <w:rPr>
          <w:rtl w:val="0"/>
        </w:rPr>
        <w:t xml:space="preserve">Oversight of Conflict Management Framework: The Board and senior executives must review conflict mitigation strategies and ensure they align with regulatory expectations.</w:t>
      </w:r>
    </w:p>
    <w:p w:rsidR="00000000" w:rsidDel="00000000" w:rsidP="00000000" w:rsidRDefault="00000000" w:rsidRPr="00000000" w14:paraId="0000011D">
      <w:pPr>
        <w:numPr>
          <w:ilvl w:val="0"/>
          <w:numId w:val="33"/>
        </w:numPr>
        <w:spacing w:after="0" w:afterAutospacing="0" w:before="0" w:beforeAutospacing="0"/>
        <w:ind w:left="2160" w:hanging="360"/>
        <w:rPr>
          <w:color w:val="000000"/>
        </w:rPr>
      </w:pPr>
      <w:r w:rsidDel="00000000" w:rsidR="00000000" w:rsidRPr="00000000">
        <w:rPr>
          <w:rtl w:val="0"/>
        </w:rPr>
        <w:t xml:space="preserve">Approval of High-Risk Decisions: Where conflicts cannot be fully mitigated, senior management must approve actions to manage them, ensuring client interests are not compromised.</w:t>
      </w:r>
    </w:p>
    <w:p w:rsidR="00000000" w:rsidDel="00000000" w:rsidP="00000000" w:rsidRDefault="00000000" w:rsidRPr="00000000" w14:paraId="0000011E">
      <w:pPr>
        <w:numPr>
          <w:ilvl w:val="0"/>
          <w:numId w:val="33"/>
        </w:numPr>
        <w:spacing w:after="0" w:afterAutospacing="0" w:before="0" w:beforeAutospacing="0"/>
        <w:ind w:left="2160" w:hanging="360"/>
        <w:rPr>
          <w:color w:val="000000"/>
        </w:rPr>
      </w:pPr>
      <w:r w:rsidDel="00000000" w:rsidR="00000000" w:rsidRPr="00000000">
        <w:rPr>
          <w:rtl w:val="0"/>
        </w:rPr>
        <w:t xml:space="preserve">Accountability for Compliance Failures: Senior executives may be held personally accountable if conflicts of interest result in regulatory breaches or customer harm.</w:t>
      </w:r>
    </w:p>
    <w:p w:rsidR="00000000" w:rsidDel="00000000" w:rsidP="00000000" w:rsidRDefault="00000000" w:rsidRPr="00000000" w14:paraId="0000011F">
      <w:pPr>
        <w:numPr>
          <w:ilvl w:val="0"/>
          <w:numId w:val="33"/>
        </w:numPr>
        <w:spacing w:before="0" w:beforeAutospacing="0"/>
        <w:ind w:left="2160" w:hanging="360"/>
        <w:rPr>
          <w:color w:val="000000"/>
        </w:rPr>
      </w:pPr>
      <w:r w:rsidDel="00000000" w:rsidR="00000000" w:rsidRPr="00000000">
        <w:rPr>
          <w:rtl w:val="0"/>
        </w:rPr>
        <w:t xml:space="preserve">Providing Sufficient Resources for Compliance: The Firm must ensure that the compliance function has adequate resources, authority, and independence to monitor and manage conflicts effectively.</w:t>
      </w:r>
    </w:p>
    <w:p w:rsidR="00000000" w:rsidDel="00000000" w:rsidP="00000000" w:rsidRDefault="00000000" w:rsidRPr="00000000" w14:paraId="00000120">
      <w:pPr>
        <w:ind w:left="1440" w:firstLine="0"/>
        <w:rPr/>
      </w:pPr>
      <w:r w:rsidDel="00000000" w:rsidR="00000000" w:rsidRPr="00000000">
        <w:rPr>
          <w:rtl w:val="0"/>
        </w:rPr>
        <w:t xml:space="preserve">Compliance Function Responsibilities:</w:t>
      </w:r>
    </w:p>
    <w:p w:rsidR="00000000" w:rsidDel="00000000" w:rsidP="00000000" w:rsidRDefault="00000000" w:rsidRPr="00000000" w14:paraId="00000121">
      <w:pPr>
        <w:numPr>
          <w:ilvl w:val="0"/>
          <w:numId w:val="15"/>
        </w:numPr>
        <w:spacing w:after="0" w:afterAutospacing="0"/>
        <w:ind w:left="2160" w:hanging="360"/>
        <w:rPr>
          <w:color w:val="000000"/>
        </w:rPr>
      </w:pPr>
      <w:r w:rsidDel="00000000" w:rsidR="00000000" w:rsidRPr="00000000">
        <w:rPr>
          <w:rtl w:val="0"/>
        </w:rPr>
        <w:t xml:space="preserve">Identifying and Assessing Conflicts: Compliance teams must regularly review business activities to detect potential conflicts.</w:t>
      </w:r>
    </w:p>
    <w:p w:rsidR="00000000" w:rsidDel="00000000" w:rsidP="00000000" w:rsidRDefault="00000000" w:rsidRPr="00000000" w14:paraId="00000122">
      <w:pPr>
        <w:numPr>
          <w:ilvl w:val="0"/>
          <w:numId w:val="15"/>
        </w:numPr>
        <w:spacing w:after="0" w:afterAutospacing="0" w:before="0" w:beforeAutospacing="0"/>
        <w:ind w:left="2160" w:hanging="360"/>
        <w:rPr>
          <w:color w:val="000000"/>
        </w:rPr>
      </w:pPr>
      <w:r w:rsidDel="00000000" w:rsidR="00000000" w:rsidRPr="00000000">
        <w:rPr>
          <w:rtl w:val="0"/>
        </w:rPr>
        <w:t xml:space="preserve">Maintaining and Reviewing the Conflicts of Interest Register: Ensuring all conflicts are correctly recorded, assessed, and monitored.</w:t>
      </w:r>
    </w:p>
    <w:p w:rsidR="00000000" w:rsidDel="00000000" w:rsidP="00000000" w:rsidRDefault="00000000" w:rsidRPr="00000000" w14:paraId="00000123">
      <w:pPr>
        <w:numPr>
          <w:ilvl w:val="0"/>
          <w:numId w:val="15"/>
        </w:numPr>
        <w:spacing w:after="0" w:afterAutospacing="0" w:before="0" w:beforeAutospacing="0"/>
        <w:ind w:left="2160" w:hanging="360"/>
        <w:rPr>
          <w:color w:val="000000"/>
        </w:rPr>
      </w:pPr>
      <w:r w:rsidDel="00000000" w:rsidR="00000000" w:rsidRPr="00000000">
        <w:rPr>
          <w:rtl w:val="0"/>
        </w:rPr>
        <w:t xml:space="preserve">Conducting Staff Training: Ensuring all employees understand conflict risks, disclosure requirements, and escalation procedures.</w:t>
      </w:r>
    </w:p>
    <w:p w:rsidR="00000000" w:rsidDel="00000000" w:rsidP="00000000" w:rsidRDefault="00000000" w:rsidRPr="00000000" w14:paraId="00000124">
      <w:pPr>
        <w:numPr>
          <w:ilvl w:val="0"/>
          <w:numId w:val="15"/>
        </w:numPr>
        <w:spacing w:after="0" w:afterAutospacing="0" w:before="0" w:beforeAutospacing="0"/>
        <w:ind w:left="2160" w:hanging="360"/>
        <w:rPr>
          <w:color w:val="000000"/>
        </w:rPr>
      </w:pPr>
      <w:r w:rsidDel="00000000" w:rsidR="00000000" w:rsidRPr="00000000">
        <w:rPr>
          <w:rtl w:val="0"/>
        </w:rPr>
        <w:t xml:space="preserve">Regulatory Reporting and FCA Engagement: If a material conflict cannot be mitigated, compliance must report it to the FCA as required by law.</w:t>
      </w:r>
    </w:p>
    <w:p w:rsidR="00000000" w:rsidDel="00000000" w:rsidP="00000000" w:rsidRDefault="00000000" w:rsidRPr="00000000" w14:paraId="00000125">
      <w:pPr>
        <w:numPr>
          <w:ilvl w:val="0"/>
          <w:numId w:val="15"/>
        </w:numPr>
        <w:spacing w:before="0" w:beforeAutospacing="0"/>
        <w:ind w:left="2160" w:hanging="360"/>
        <w:rPr>
          <w:color w:val="000000"/>
        </w:rPr>
      </w:pPr>
      <w:r w:rsidDel="00000000" w:rsidR="00000000" w:rsidRPr="00000000">
        <w:rPr>
          <w:rtl w:val="0"/>
        </w:rPr>
        <w:t xml:space="preserve">Auditing Conflict Management Controls: Periodic independent audits must be conducted to evaluate the effectiveness of conflict mitigation strategies.</w:t>
      </w:r>
    </w:p>
    <w:p w:rsidR="00000000" w:rsidDel="00000000" w:rsidP="00000000" w:rsidRDefault="00000000" w:rsidRPr="00000000" w14:paraId="00000126">
      <w:pPr>
        <w:ind w:left="1440" w:firstLine="0"/>
        <w:rPr/>
      </w:pPr>
      <w:r w:rsidDel="00000000" w:rsidR="00000000" w:rsidRPr="00000000">
        <w:rPr>
          <w:rtl w:val="0"/>
        </w:rPr>
        <w:t xml:space="preserve">By clearly defining roles and responsibilities, the Firm ensures senior leadership and compliance teams work together to uphold regulatory standards and customer fairness.</w:t>
      </w:r>
    </w:p>
    <w:p w:rsidR="00000000" w:rsidDel="00000000" w:rsidP="00000000" w:rsidRDefault="00000000" w:rsidRPr="00000000" w14:paraId="00000127">
      <w:pPr>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pStyle w:val="Heading2"/>
        <w:ind w:left="1440" w:firstLine="0"/>
        <w:rPr/>
      </w:pPr>
      <w:bookmarkStart w:colFirst="0" w:colLast="0" w:name="_4j7oll1uf22f" w:id="31"/>
      <w:bookmarkEnd w:id="31"/>
      <w:r w:rsidDel="00000000" w:rsidR="00000000" w:rsidRPr="00000000">
        <w:rPr>
          <w:rtl w:val="0"/>
        </w:rPr>
        <w:t xml:space="preserve">5.3 Monitoring and Ongoing Review</w:t>
      </w:r>
    </w:p>
    <w:p w:rsidR="00000000" w:rsidDel="00000000" w:rsidP="00000000" w:rsidRDefault="00000000" w:rsidRPr="00000000" w14:paraId="00000129">
      <w:pPr>
        <w:ind w:left="1440" w:firstLine="0"/>
        <w:rPr/>
      </w:pPr>
      <w:r w:rsidDel="00000000" w:rsidR="00000000" w:rsidRPr="00000000">
        <w:rPr>
          <w:rtl w:val="0"/>
        </w:rPr>
        <w:t xml:space="preserve">The Firm recognises that conflicts of interest are not static and require continuous monitoring, assessment, and improvement to remain effective in a dynamic regulatory and business environment.</w:t>
      </w:r>
    </w:p>
    <w:p w:rsidR="00000000" w:rsidDel="00000000" w:rsidP="00000000" w:rsidRDefault="00000000" w:rsidRPr="00000000" w14:paraId="0000012A">
      <w:pPr>
        <w:ind w:left="1440" w:firstLine="0"/>
        <w:rPr/>
      </w:pPr>
      <w:r w:rsidDel="00000000" w:rsidR="00000000" w:rsidRPr="00000000">
        <w:rPr>
          <w:rtl w:val="0"/>
        </w:rPr>
        <w:t xml:space="preserve">Key Monitoring Activities:</w:t>
      </w:r>
    </w:p>
    <w:p w:rsidR="00000000" w:rsidDel="00000000" w:rsidP="00000000" w:rsidRDefault="00000000" w:rsidRPr="00000000" w14:paraId="0000012B">
      <w:pPr>
        <w:numPr>
          <w:ilvl w:val="0"/>
          <w:numId w:val="31"/>
        </w:numPr>
        <w:spacing w:after="0" w:afterAutospacing="0"/>
        <w:ind w:left="2160" w:hanging="360"/>
        <w:rPr>
          <w:color w:val="000000"/>
        </w:rPr>
      </w:pPr>
      <w:r w:rsidDel="00000000" w:rsidR="00000000" w:rsidRPr="00000000">
        <w:rPr>
          <w:rtl w:val="0"/>
        </w:rPr>
        <w:t xml:space="preserve">Quarterly Compliance Reviews: The compliance team regularly reviews the ICTs of Interest Register, staff disclosures, and risk assessments.</w:t>
      </w:r>
    </w:p>
    <w:p w:rsidR="00000000" w:rsidDel="00000000" w:rsidP="00000000" w:rsidRDefault="00000000" w:rsidRPr="00000000" w14:paraId="0000012C">
      <w:pPr>
        <w:numPr>
          <w:ilvl w:val="0"/>
          <w:numId w:val="31"/>
        </w:numPr>
        <w:spacing w:after="0" w:afterAutospacing="0" w:before="0" w:beforeAutospacing="0"/>
        <w:ind w:left="2160" w:hanging="360"/>
        <w:rPr>
          <w:color w:val="000000"/>
        </w:rPr>
      </w:pPr>
      <w:r w:rsidDel="00000000" w:rsidR="00000000" w:rsidRPr="00000000">
        <w:rPr>
          <w:rtl w:val="0"/>
        </w:rPr>
        <w:t xml:space="preserve">Annual Policy Review: The Firm must conduct a formal review of this policy annually to ensure it aligns with regulatory updates and business changes.</w:t>
      </w:r>
    </w:p>
    <w:p w:rsidR="00000000" w:rsidDel="00000000" w:rsidP="00000000" w:rsidRDefault="00000000" w:rsidRPr="00000000" w14:paraId="0000012D">
      <w:pPr>
        <w:numPr>
          <w:ilvl w:val="0"/>
          <w:numId w:val="31"/>
        </w:numPr>
        <w:spacing w:after="0" w:afterAutospacing="0" w:before="0" w:beforeAutospacing="0"/>
        <w:ind w:left="2160" w:hanging="360"/>
        <w:rPr>
          <w:color w:val="000000"/>
        </w:rPr>
      </w:pPr>
      <w:r w:rsidDel="00000000" w:rsidR="00000000" w:rsidRPr="00000000">
        <w:rPr>
          <w:rtl w:val="0"/>
        </w:rPr>
        <w:t xml:space="preserve">Testing the Effectiveness of Controls: The Firm must conduct periodic internal audits and risk assessments to evaluate whether conflict management measures are working as intended.</w:t>
      </w:r>
    </w:p>
    <w:p w:rsidR="00000000" w:rsidDel="00000000" w:rsidP="00000000" w:rsidRDefault="00000000" w:rsidRPr="00000000" w14:paraId="0000012E">
      <w:pPr>
        <w:numPr>
          <w:ilvl w:val="0"/>
          <w:numId w:val="31"/>
        </w:numPr>
        <w:spacing w:after="0" w:afterAutospacing="0" w:before="0" w:beforeAutospacing="0"/>
        <w:ind w:left="2160" w:hanging="360"/>
        <w:rPr>
          <w:color w:val="000000"/>
        </w:rPr>
      </w:pPr>
      <w:r w:rsidDel="00000000" w:rsidR="00000000" w:rsidRPr="00000000">
        <w:rPr>
          <w:rtl w:val="0"/>
        </w:rPr>
        <w:t xml:space="preserve">Monitoring of Staff Conduct: Regular reviews of employee financial interests, external engagements, and decision-making processes help identify potential conflicts of interest.</w:t>
      </w:r>
    </w:p>
    <w:p w:rsidR="00000000" w:rsidDel="00000000" w:rsidP="00000000" w:rsidRDefault="00000000" w:rsidRPr="00000000" w14:paraId="0000012F">
      <w:pPr>
        <w:numPr>
          <w:ilvl w:val="0"/>
          <w:numId w:val="31"/>
        </w:numPr>
        <w:spacing w:after="0" w:afterAutospacing="0" w:before="0" w:beforeAutospacing="0"/>
        <w:ind w:left="2160" w:hanging="360"/>
        <w:rPr>
          <w:color w:val="000000"/>
        </w:rPr>
      </w:pPr>
      <w:r w:rsidDel="00000000" w:rsidR="00000000" w:rsidRPr="00000000">
        <w:rPr>
          <w:rtl w:val="0"/>
        </w:rPr>
        <w:t xml:space="preserve">Client Complaints and Feedback: Potential conflicts must be identified in customer grievances or complaints about bias, unfair treatment, or misleading advice.</w:t>
      </w:r>
    </w:p>
    <w:p w:rsidR="00000000" w:rsidDel="00000000" w:rsidP="00000000" w:rsidRDefault="00000000" w:rsidRPr="00000000" w14:paraId="00000130">
      <w:pPr>
        <w:numPr>
          <w:ilvl w:val="0"/>
          <w:numId w:val="31"/>
        </w:numPr>
        <w:spacing w:before="0" w:beforeAutospacing="0"/>
        <w:ind w:left="2160" w:hanging="360"/>
        <w:rPr>
          <w:color w:val="000000"/>
        </w:rPr>
      </w:pPr>
      <w:r w:rsidDel="00000000" w:rsidR="00000000" w:rsidRPr="00000000">
        <w:rPr>
          <w:rtl w:val="0"/>
        </w:rPr>
        <w:t xml:space="preserve">Regulatory Updates and Industry Best Practices: The compliance function must monitor FCA guidance, enforcement actions, and industry developments to adapt the Firm’s conflict management framework accordingly.</w:t>
      </w:r>
    </w:p>
    <w:p w:rsidR="00000000" w:rsidDel="00000000" w:rsidP="00000000" w:rsidRDefault="00000000" w:rsidRPr="00000000" w14:paraId="00000131">
      <w:pPr>
        <w:ind w:left="1440" w:firstLine="0"/>
        <w:rPr/>
      </w:pPr>
      <w:r w:rsidDel="00000000" w:rsidR="00000000" w:rsidRPr="00000000">
        <w:rPr>
          <w:rtl w:val="0"/>
        </w:rPr>
        <w:t xml:space="preserve">Escalation and Reporting Mechanism:</w:t>
      </w:r>
    </w:p>
    <w:p w:rsidR="00000000" w:rsidDel="00000000" w:rsidP="00000000" w:rsidRDefault="00000000" w:rsidRPr="00000000" w14:paraId="00000132">
      <w:pPr>
        <w:numPr>
          <w:ilvl w:val="0"/>
          <w:numId w:val="2"/>
        </w:numPr>
        <w:spacing w:after="0" w:afterAutospacing="0"/>
        <w:ind w:left="2160" w:hanging="360"/>
        <w:rPr>
          <w:color w:val="000000"/>
        </w:rPr>
      </w:pPr>
      <w:r w:rsidDel="00000000" w:rsidR="00000000" w:rsidRPr="00000000">
        <w:rPr>
          <w:rtl w:val="0"/>
        </w:rPr>
        <w:t xml:space="preserve">Any material conflict must be reported to the Compliance Officer and escalated to senior management if it poses a significant risk to regulatory compliance or reputation.</w:t>
      </w:r>
    </w:p>
    <w:p w:rsidR="00000000" w:rsidDel="00000000" w:rsidP="00000000" w:rsidRDefault="00000000" w:rsidRPr="00000000" w14:paraId="00000133">
      <w:pPr>
        <w:numPr>
          <w:ilvl w:val="0"/>
          <w:numId w:val="2"/>
        </w:numPr>
        <w:spacing w:after="0" w:afterAutospacing="0" w:before="0" w:beforeAutospacing="0"/>
        <w:ind w:left="2160" w:hanging="360"/>
        <w:rPr>
          <w:color w:val="000000"/>
        </w:rPr>
      </w:pPr>
      <w:r w:rsidDel="00000000" w:rsidR="00000000" w:rsidRPr="00000000">
        <w:rPr>
          <w:rtl w:val="0"/>
        </w:rPr>
        <w:t xml:space="preserve">If an identified conflict cannot be mitigated or adequately disclosed, the Firm must consider ceasing or restructuring the business activity to protect its customers' interests.</w:t>
      </w:r>
    </w:p>
    <w:p w:rsidR="00000000" w:rsidDel="00000000" w:rsidP="00000000" w:rsidRDefault="00000000" w:rsidRPr="00000000" w14:paraId="00000134">
      <w:pPr>
        <w:numPr>
          <w:ilvl w:val="0"/>
          <w:numId w:val="2"/>
        </w:numPr>
        <w:spacing w:before="0" w:beforeAutospacing="0"/>
        <w:ind w:left="2160" w:hanging="360"/>
        <w:rPr>
          <w:color w:val="000000"/>
        </w:rPr>
      </w:pPr>
      <w:r w:rsidDel="00000000" w:rsidR="00000000" w:rsidRPr="00000000">
        <w:rPr>
          <w:rtl w:val="0"/>
        </w:rPr>
        <w:t xml:space="preserve">If required, the Firm will report significant conflicts to the FCA, ensuring full regulatory transparency.</w:t>
      </w:r>
    </w:p>
    <w:p w:rsidR="00000000" w:rsidDel="00000000" w:rsidP="00000000" w:rsidRDefault="00000000" w:rsidRPr="00000000" w14:paraId="00000135">
      <w:pPr>
        <w:ind w:left="1440" w:firstLine="0"/>
        <w:rPr/>
      </w:pPr>
      <w:r w:rsidDel="00000000" w:rsidR="00000000" w:rsidRPr="00000000">
        <w:rPr>
          <w:rtl w:val="0"/>
        </w:rPr>
        <w:t xml:space="preserve">By embedding a structured approach to monitoring and review, the Firm ensures that its conflict management framework remains effective, proactive, and aligned with regulatory expectations.</w:t>
      </w:r>
    </w:p>
    <w:p w:rsidR="00000000" w:rsidDel="00000000" w:rsidP="00000000" w:rsidRDefault="00000000" w:rsidRPr="00000000" w14:paraId="00000136">
      <w:pPr>
        <w:ind w:left="1440" w:firstLine="0"/>
        <w:rPr/>
      </w:pPr>
      <w:r w:rsidDel="00000000" w:rsidR="00000000" w:rsidRPr="00000000">
        <w:rPr>
          <w:rtl w:val="0"/>
        </w:rPr>
      </w:r>
    </w:p>
    <w:p w:rsidR="00000000" w:rsidDel="00000000" w:rsidP="00000000" w:rsidRDefault="00000000" w:rsidRPr="00000000" w14:paraId="00000137">
      <w:pPr>
        <w:pStyle w:val="Heading1"/>
        <w:rPr/>
      </w:pPr>
      <w:bookmarkStart w:colFirst="0" w:colLast="0" w:name="_9ru9nkoxgt2h" w:id="32"/>
      <w:bookmarkEnd w:id="32"/>
      <w:r w:rsidDel="00000000" w:rsidR="00000000" w:rsidRPr="00000000">
        <w:rPr>
          <w:rtl w:val="0"/>
        </w:rPr>
        <w:t xml:space="preserve">6. Staff Training and Compliance Culture</w:t>
      </w:r>
    </w:p>
    <w:p w:rsidR="00000000" w:rsidDel="00000000" w:rsidP="00000000" w:rsidRDefault="00000000" w:rsidRPr="00000000" w14:paraId="00000138">
      <w:pPr>
        <w:pStyle w:val="Heading2"/>
        <w:ind w:left="1440" w:firstLine="0"/>
        <w:rPr/>
      </w:pPr>
      <w:bookmarkStart w:colFirst="0" w:colLast="0" w:name="_st2udaltzqve" w:id="33"/>
      <w:bookmarkEnd w:id="33"/>
      <w:r w:rsidDel="00000000" w:rsidR="00000000" w:rsidRPr="00000000">
        <w:rPr>
          <w:rtl w:val="0"/>
        </w:rPr>
        <w:t xml:space="preserve">6.1 Training Requirements for Staff</w:t>
      </w:r>
    </w:p>
    <w:p w:rsidR="00000000" w:rsidDel="00000000" w:rsidP="00000000" w:rsidRDefault="00000000" w:rsidRPr="00000000" w14:paraId="00000139">
      <w:pPr>
        <w:ind w:left="1440" w:firstLine="0"/>
        <w:rPr/>
      </w:pPr>
      <w:r w:rsidDel="00000000" w:rsidR="00000000" w:rsidRPr="00000000">
        <w:rPr>
          <w:rtl w:val="0"/>
        </w:rPr>
        <w:t xml:space="preserve">Ensuring that all employees understand their responsibilities in identifying, managing, and reporting conflicts of interest is a fundamental part of the Firm’s compliance framework. The Firm implements a structured and mandatory training programme to promote a culture of integrity and regulatory compliance across all business functions.</w:t>
      </w:r>
    </w:p>
    <w:p w:rsidR="00000000" w:rsidDel="00000000" w:rsidP="00000000" w:rsidRDefault="00000000" w:rsidRPr="00000000" w14:paraId="0000013A">
      <w:pPr>
        <w:ind w:left="1440" w:firstLine="0"/>
        <w:rPr/>
      </w:pPr>
      <w:r w:rsidDel="00000000" w:rsidR="00000000" w:rsidRPr="00000000">
        <w:rPr>
          <w:rtl w:val="0"/>
        </w:rPr>
        <w:t xml:space="preserve">Training Programme Structure:</w:t>
      </w:r>
    </w:p>
    <w:p w:rsidR="00000000" w:rsidDel="00000000" w:rsidP="00000000" w:rsidRDefault="00000000" w:rsidRPr="00000000" w14:paraId="0000013B">
      <w:pPr>
        <w:numPr>
          <w:ilvl w:val="0"/>
          <w:numId w:val="14"/>
        </w:numPr>
        <w:spacing w:after="0" w:afterAutospacing="0"/>
        <w:ind w:left="2160" w:hanging="360"/>
        <w:rPr>
          <w:color w:val="000000"/>
        </w:rPr>
      </w:pPr>
      <w:r w:rsidDel="00000000" w:rsidR="00000000" w:rsidRPr="00000000">
        <w:rPr>
          <w:rtl w:val="0"/>
        </w:rPr>
        <w:t xml:space="preserve">Induction Training for New Employees</w:t>
      </w:r>
    </w:p>
    <w:p w:rsidR="00000000" w:rsidDel="00000000" w:rsidP="00000000" w:rsidRDefault="00000000" w:rsidRPr="00000000" w14:paraId="0000013C">
      <w:pPr>
        <w:numPr>
          <w:ilvl w:val="1"/>
          <w:numId w:val="14"/>
        </w:numPr>
        <w:spacing w:after="0" w:afterAutospacing="0" w:before="0" w:beforeAutospacing="0"/>
        <w:ind w:left="2880" w:hanging="360"/>
        <w:rPr>
          <w:color w:val="000000"/>
        </w:rPr>
      </w:pPr>
      <w:r w:rsidDel="00000000" w:rsidR="00000000" w:rsidRPr="00000000">
        <w:rPr>
          <w:rtl w:val="0"/>
        </w:rPr>
        <w:t xml:space="preserve">All new employees must complete conflict of interest training as part of their onboarding process.</w:t>
      </w:r>
    </w:p>
    <w:p w:rsidR="00000000" w:rsidDel="00000000" w:rsidP="00000000" w:rsidRDefault="00000000" w:rsidRPr="00000000" w14:paraId="0000013D">
      <w:pPr>
        <w:numPr>
          <w:ilvl w:val="1"/>
          <w:numId w:val="14"/>
        </w:numPr>
        <w:spacing w:after="0" w:afterAutospacing="0" w:before="0" w:beforeAutospacing="0"/>
        <w:ind w:left="2880" w:hanging="360"/>
        <w:rPr>
          <w:color w:val="000000"/>
        </w:rPr>
      </w:pPr>
      <w:r w:rsidDel="00000000" w:rsidR="00000000" w:rsidRPr="00000000">
        <w:rPr>
          <w:rtl w:val="0"/>
        </w:rPr>
        <w:t xml:space="preserve">Training covers the Firm’s policy, regulatory requirements, real-world conflict scenarios, and reporting procedures.</w:t>
      </w:r>
    </w:p>
    <w:p w:rsidR="00000000" w:rsidDel="00000000" w:rsidP="00000000" w:rsidRDefault="00000000" w:rsidRPr="00000000" w14:paraId="0000013E">
      <w:pPr>
        <w:numPr>
          <w:ilvl w:val="0"/>
          <w:numId w:val="14"/>
        </w:numPr>
        <w:spacing w:after="0" w:afterAutospacing="0" w:before="0" w:beforeAutospacing="0"/>
        <w:ind w:left="2160" w:hanging="360"/>
        <w:rPr>
          <w:color w:val="000000"/>
        </w:rPr>
      </w:pPr>
      <w:r w:rsidDel="00000000" w:rsidR="00000000" w:rsidRPr="00000000">
        <w:rPr>
          <w:rtl w:val="0"/>
        </w:rPr>
        <w:t xml:space="preserve">Annual Refresher Training</w:t>
      </w:r>
    </w:p>
    <w:p w:rsidR="00000000" w:rsidDel="00000000" w:rsidP="00000000" w:rsidRDefault="00000000" w:rsidRPr="00000000" w14:paraId="0000013F">
      <w:pPr>
        <w:numPr>
          <w:ilvl w:val="1"/>
          <w:numId w:val="14"/>
        </w:numPr>
        <w:spacing w:after="0" w:afterAutospacing="0" w:before="0" w:beforeAutospacing="0"/>
        <w:ind w:left="2880" w:hanging="360"/>
        <w:rPr>
          <w:color w:val="000000"/>
        </w:rPr>
      </w:pPr>
      <w:r w:rsidDel="00000000" w:rsidR="00000000" w:rsidRPr="00000000">
        <w:rPr>
          <w:rtl w:val="0"/>
        </w:rPr>
        <w:t xml:space="preserve">All staff, including senior management, are required to complete annual refresher courses on conflict management.</w:t>
      </w:r>
    </w:p>
    <w:p w:rsidR="00000000" w:rsidDel="00000000" w:rsidP="00000000" w:rsidRDefault="00000000" w:rsidRPr="00000000" w14:paraId="00000140">
      <w:pPr>
        <w:numPr>
          <w:ilvl w:val="1"/>
          <w:numId w:val="14"/>
        </w:numPr>
        <w:spacing w:after="0" w:afterAutospacing="0" w:before="0" w:beforeAutospacing="0"/>
        <w:ind w:left="2880" w:hanging="360"/>
        <w:rPr>
          <w:color w:val="000000"/>
        </w:rPr>
      </w:pPr>
      <w:r w:rsidDel="00000000" w:rsidR="00000000" w:rsidRPr="00000000">
        <w:rPr>
          <w:rtl w:val="0"/>
        </w:rPr>
        <w:t xml:space="preserve">Training incorporates case studies, regulatory updates, and emerging risks to reinforce understanding and enhance knowledge.</w:t>
      </w:r>
    </w:p>
    <w:p w:rsidR="00000000" w:rsidDel="00000000" w:rsidP="00000000" w:rsidRDefault="00000000" w:rsidRPr="00000000" w14:paraId="00000141">
      <w:pPr>
        <w:numPr>
          <w:ilvl w:val="0"/>
          <w:numId w:val="14"/>
        </w:numPr>
        <w:spacing w:after="0" w:afterAutospacing="0" w:before="0" w:beforeAutospacing="0"/>
        <w:ind w:left="2160" w:hanging="360"/>
        <w:rPr>
          <w:color w:val="000000"/>
        </w:rPr>
      </w:pPr>
      <w:r w:rsidDel="00000000" w:rsidR="00000000" w:rsidRPr="00000000">
        <w:rPr>
          <w:rtl w:val="0"/>
        </w:rPr>
        <w:t xml:space="preserve">Role-Specific Training</w:t>
      </w:r>
    </w:p>
    <w:p w:rsidR="00000000" w:rsidDel="00000000" w:rsidP="00000000" w:rsidRDefault="00000000" w:rsidRPr="00000000" w14:paraId="00000142">
      <w:pPr>
        <w:numPr>
          <w:ilvl w:val="1"/>
          <w:numId w:val="14"/>
        </w:numPr>
        <w:spacing w:after="0" w:afterAutospacing="0" w:before="0" w:beforeAutospacing="0"/>
        <w:ind w:left="2880" w:hanging="360"/>
        <w:rPr>
          <w:color w:val="000000"/>
        </w:rPr>
      </w:pPr>
      <w:r w:rsidDel="00000000" w:rsidR="00000000" w:rsidRPr="00000000">
        <w:rPr>
          <w:rtl w:val="0"/>
        </w:rPr>
        <w:t xml:space="preserve">Employees in high-risk areas (e.g., sales, credit assessment, compliance, and senior management) receive enhanced training tailored to their roles.</w:t>
      </w:r>
    </w:p>
    <w:p w:rsidR="00000000" w:rsidDel="00000000" w:rsidP="00000000" w:rsidRDefault="00000000" w:rsidRPr="00000000" w14:paraId="00000143">
      <w:pPr>
        <w:numPr>
          <w:ilvl w:val="1"/>
          <w:numId w:val="14"/>
        </w:numPr>
        <w:spacing w:after="0" w:afterAutospacing="0" w:before="0" w:beforeAutospacing="0"/>
        <w:ind w:left="2880" w:hanging="360"/>
        <w:rPr>
          <w:color w:val="000000"/>
        </w:rPr>
      </w:pPr>
      <w:r w:rsidDel="00000000" w:rsidR="00000000" w:rsidRPr="00000000">
        <w:rPr>
          <w:rtl w:val="0"/>
        </w:rPr>
        <w:t xml:space="preserve">Topics include managing conflicts in lending decisions, incentives, and third-party relationships.</w:t>
      </w:r>
    </w:p>
    <w:p w:rsidR="00000000" w:rsidDel="00000000" w:rsidP="00000000" w:rsidRDefault="00000000" w:rsidRPr="00000000" w14:paraId="00000144">
      <w:pPr>
        <w:numPr>
          <w:ilvl w:val="0"/>
          <w:numId w:val="14"/>
        </w:numPr>
        <w:spacing w:after="0" w:afterAutospacing="0" w:before="0" w:beforeAutospacing="0"/>
        <w:ind w:left="2160" w:hanging="360"/>
        <w:rPr>
          <w:color w:val="000000"/>
        </w:rPr>
      </w:pPr>
      <w:r w:rsidDel="00000000" w:rsidR="00000000" w:rsidRPr="00000000">
        <w:rPr>
          <w:rtl w:val="0"/>
        </w:rPr>
        <w:t xml:space="preserve">Testing and Certification</w:t>
      </w:r>
    </w:p>
    <w:p w:rsidR="00000000" w:rsidDel="00000000" w:rsidP="00000000" w:rsidRDefault="00000000" w:rsidRPr="00000000" w14:paraId="00000145">
      <w:pPr>
        <w:numPr>
          <w:ilvl w:val="1"/>
          <w:numId w:val="14"/>
        </w:numPr>
        <w:spacing w:after="0" w:afterAutospacing="0" w:before="0" w:beforeAutospacing="0"/>
        <w:ind w:left="2880" w:hanging="360"/>
        <w:rPr>
          <w:color w:val="000000"/>
        </w:rPr>
      </w:pPr>
      <w:r w:rsidDel="00000000" w:rsidR="00000000" w:rsidRPr="00000000">
        <w:rPr>
          <w:rtl w:val="0"/>
        </w:rPr>
        <w:t xml:space="preserve">Employees must pass an assessment after training to ensure comprehension.</w:t>
      </w:r>
    </w:p>
    <w:p w:rsidR="00000000" w:rsidDel="00000000" w:rsidP="00000000" w:rsidRDefault="00000000" w:rsidRPr="00000000" w14:paraId="00000146">
      <w:pPr>
        <w:numPr>
          <w:ilvl w:val="1"/>
          <w:numId w:val="14"/>
        </w:numPr>
        <w:spacing w:after="0" w:afterAutospacing="0" w:before="0" w:beforeAutospacing="0"/>
        <w:ind w:left="2880" w:hanging="360"/>
        <w:rPr>
          <w:color w:val="000000"/>
        </w:rPr>
      </w:pPr>
      <w:r w:rsidDel="00000000" w:rsidR="00000000" w:rsidRPr="00000000">
        <w:rPr>
          <w:rtl w:val="0"/>
        </w:rPr>
        <w:t xml:space="preserve">Failure to complete training or pass assessments may result in escalation to line managers or compliance officers.</w:t>
      </w:r>
    </w:p>
    <w:p w:rsidR="00000000" w:rsidDel="00000000" w:rsidP="00000000" w:rsidRDefault="00000000" w:rsidRPr="00000000" w14:paraId="00000147">
      <w:pPr>
        <w:numPr>
          <w:ilvl w:val="0"/>
          <w:numId w:val="14"/>
        </w:numPr>
        <w:spacing w:after="0" w:afterAutospacing="0" w:before="0" w:beforeAutospacing="0"/>
        <w:ind w:left="2160" w:hanging="360"/>
        <w:rPr>
          <w:color w:val="000000"/>
        </w:rPr>
      </w:pPr>
      <w:r w:rsidDel="00000000" w:rsidR="00000000" w:rsidRPr="00000000">
        <w:rPr>
          <w:rtl w:val="0"/>
        </w:rPr>
        <w:t xml:space="preserve">Ongoing Compliance Updates</w:t>
      </w:r>
    </w:p>
    <w:p w:rsidR="00000000" w:rsidDel="00000000" w:rsidP="00000000" w:rsidRDefault="00000000" w:rsidRPr="00000000" w14:paraId="00000148">
      <w:pPr>
        <w:numPr>
          <w:ilvl w:val="1"/>
          <w:numId w:val="14"/>
        </w:numPr>
        <w:spacing w:after="0" w:afterAutospacing="0" w:before="0" w:beforeAutospacing="0"/>
        <w:ind w:left="2880" w:hanging="360"/>
        <w:rPr>
          <w:color w:val="000000"/>
        </w:rPr>
      </w:pPr>
      <w:r w:rsidDel="00000000" w:rsidR="00000000" w:rsidRPr="00000000">
        <w:rPr>
          <w:rtl w:val="0"/>
        </w:rPr>
        <w:t xml:space="preserve">The Firm provides regular updates via emails, briefings, or workshops on evolving regulatory expectations and emerging conflict risks.</w:t>
      </w:r>
    </w:p>
    <w:p w:rsidR="00000000" w:rsidDel="00000000" w:rsidP="00000000" w:rsidRDefault="00000000" w:rsidRPr="00000000" w14:paraId="00000149">
      <w:pPr>
        <w:numPr>
          <w:ilvl w:val="1"/>
          <w:numId w:val="14"/>
        </w:numPr>
        <w:spacing w:before="0" w:beforeAutospacing="0"/>
        <w:ind w:left="2880" w:hanging="360"/>
        <w:rPr>
          <w:color w:val="000000"/>
        </w:rPr>
      </w:pPr>
      <w:r w:rsidDel="00000000" w:rsidR="00000000" w:rsidRPr="00000000">
        <w:rPr>
          <w:rtl w:val="0"/>
        </w:rPr>
        <w:t xml:space="preserve">Special training sessions may be conducted in response to FCA guidance, enforcement actions, or internal audit findings.</w:t>
      </w:r>
    </w:p>
    <w:p w:rsidR="00000000" w:rsidDel="00000000" w:rsidP="00000000" w:rsidRDefault="00000000" w:rsidRPr="00000000" w14:paraId="0000014A">
      <w:pPr>
        <w:ind w:left="1440" w:firstLine="0"/>
        <w:rPr/>
      </w:pPr>
      <w:r w:rsidDel="00000000" w:rsidR="00000000" w:rsidRPr="00000000">
        <w:rPr>
          <w:rtl w:val="0"/>
        </w:rPr>
        <w:t xml:space="preserve">By implementing robust training measures, the Firm ensures that all employees can effectively identify and manage conflicts, fostering a culture of regulatory compliance and customer fairness.</w:t>
      </w:r>
    </w:p>
    <w:p w:rsidR="00000000" w:rsidDel="00000000" w:rsidP="00000000" w:rsidRDefault="00000000" w:rsidRPr="00000000" w14:paraId="0000014B">
      <w:pPr>
        <w:pStyle w:val="Heading2"/>
        <w:ind w:left="1440" w:firstLine="0"/>
        <w:rPr/>
      </w:pPr>
      <w:bookmarkStart w:colFirst="0" w:colLast="0" w:name="_twvz9x38j97s" w:id="34"/>
      <w:bookmarkEnd w:id="34"/>
      <w:r w:rsidDel="00000000" w:rsidR="00000000" w:rsidRPr="00000000">
        <w:rPr>
          <w:rtl w:val="0"/>
        </w:rPr>
        <w:t xml:space="preserve">6.2 Escalation and Reporting of Conflicts</w:t>
      </w:r>
    </w:p>
    <w:p w:rsidR="00000000" w:rsidDel="00000000" w:rsidP="00000000" w:rsidRDefault="00000000" w:rsidRPr="00000000" w14:paraId="0000014C">
      <w:pPr>
        <w:ind w:left="1440" w:firstLine="0"/>
        <w:rPr/>
      </w:pPr>
      <w:r w:rsidDel="00000000" w:rsidR="00000000" w:rsidRPr="00000000">
        <w:rPr>
          <w:rtl w:val="0"/>
        </w:rPr>
        <w:t xml:space="preserve">The Firm maintains a transparent and well-defined escalation process for reporting conflicts of interest. Employees are required to report any actual, potential, or perceived conflicts as soon as possible to ensure timely intervention and mitigation.</w:t>
      </w:r>
    </w:p>
    <w:p w:rsidR="00000000" w:rsidDel="00000000" w:rsidP="00000000" w:rsidRDefault="00000000" w:rsidRPr="00000000" w14:paraId="0000014D">
      <w:pPr>
        <w:ind w:left="1440" w:firstLine="0"/>
        <w:rPr/>
      </w:pPr>
      <w:r w:rsidDel="00000000" w:rsidR="00000000" w:rsidRPr="00000000">
        <w:rPr>
          <w:rtl w:val="0"/>
        </w:rPr>
        <w:t xml:space="preserve">Reporting Process:</w:t>
      </w:r>
    </w:p>
    <w:p w:rsidR="00000000" w:rsidDel="00000000" w:rsidP="00000000" w:rsidRDefault="00000000" w:rsidRPr="00000000" w14:paraId="0000014E">
      <w:pPr>
        <w:numPr>
          <w:ilvl w:val="0"/>
          <w:numId w:val="6"/>
        </w:numPr>
        <w:spacing w:after="0" w:afterAutospacing="0"/>
        <w:ind w:left="2160" w:hanging="360"/>
        <w:rPr>
          <w:color w:val="000000"/>
        </w:rPr>
      </w:pPr>
      <w:r w:rsidDel="00000000" w:rsidR="00000000" w:rsidRPr="00000000">
        <w:rPr>
          <w:rtl w:val="0"/>
        </w:rPr>
        <w:t xml:space="preserve">Immediate Disclosure by Employees</w:t>
      </w:r>
    </w:p>
    <w:p w:rsidR="00000000" w:rsidDel="00000000" w:rsidP="00000000" w:rsidRDefault="00000000" w:rsidRPr="00000000" w14:paraId="0000014F">
      <w:pPr>
        <w:numPr>
          <w:ilvl w:val="1"/>
          <w:numId w:val="6"/>
        </w:numPr>
        <w:spacing w:after="0" w:afterAutospacing="0" w:before="0" w:beforeAutospacing="0"/>
        <w:ind w:left="2880" w:hanging="360"/>
        <w:rPr>
          <w:color w:val="000000"/>
        </w:rPr>
      </w:pPr>
      <w:r w:rsidDel="00000000" w:rsidR="00000000" w:rsidRPr="00000000">
        <w:rPr>
          <w:rtl w:val="0"/>
        </w:rPr>
        <w:t xml:space="preserve">Employees identifying a potential conflict must promptly report it to their line manager or compliance officer.</w:t>
      </w:r>
    </w:p>
    <w:p w:rsidR="00000000" w:rsidDel="00000000" w:rsidP="00000000" w:rsidRDefault="00000000" w:rsidRPr="00000000" w14:paraId="00000150">
      <w:pPr>
        <w:numPr>
          <w:ilvl w:val="1"/>
          <w:numId w:val="6"/>
        </w:numPr>
        <w:spacing w:after="0" w:afterAutospacing="0" w:before="0" w:beforeAutospacing="0"/>
        <w:ind w:left="2880" w:hanging="360"/>
        <w:rPr>
          <w:color w:val="000000"/>
        </w:rPr>
      </w:pPr>
      <w:r w:rsidDel="00000000" w:rsidR="00000000" w:rsidRPr="00000000">
        <w:rPr>
          <w:rtl w:val="0"/>
        </w:rPr>
        <w:t xml:space="preserve">Employees must complete a Conflict of Interest Disclosure Form, providing details of:</w:t>
      </w:r>
    </w:p>
    <w:p w:rsidR="00000000" w:rsidDel="00000000" w:rsidP="00000000" w:rsidRDefault="00000000" w:rsidRPr="00000000" w14:paraId="00000151">
      <w:pPr>
        <w:numPr>
          <w:ilvl w:val="2"/>
          <w:numId w:val="6"/>
        </w:numPr>
        <w:spacing w:after="0" w:afterAutospacing="0" w:before="0" w:beforeAutospacing="0"/>
        <w:ind w:left="3600" w:hanging="360"/>
        <w:rPr>
          <w:color w:val="000000"/>
        </w:rPr>
      </w:pPr>
      <w:r w:rsidDel="00000000" w:rsidR="00000000" w:rsidRPr="00000000">
        <w:rPr>
          <w:rtl w:val="0"/>
        </w:rPr>
        <w:t xml:space="preserve">The nature of the conflict.</w:t>
      </w:r>
    </w:p>
    <w:p w:rsidR="00000000" w:rsidDel="00000000" w:rsidP="00000000" w:rsidRDefault="00000000" w:rsidRPr="00000000" w14:paraId="00000152">
      <w:pPr>
        <w:numPr>
          <w:ilvl w:val="2"/>
          <w:numId w:val="6"/>
        </w:numPr>
        <w:spacing w:after="0" w:afterAutospacing="0" w:before="0" w:beforeAutospacing="0"/>
        <w:ind w:left="3600" w:hanging="360"/>
        <w:rPr>
          <w:color w:val="000000"/>
        </w:rPr>
      </w:pPr>
      <w:r w:rsidDel="00000000" w:rsidR="00000000" w:rsidRPr="00000000">
        <w:rPr>
          <w:rtl w:val="0"/>
        </w:rPr>
        <w:t xml:space="preserve">The parties involved.</w:t>
      </w:r>
    </w:p>
    <w:p w:rsidR="00000000" w:rsidDel="00000000" w:rsidP="00000000" w:rsidRDefault="00000000" w:rsidRPr="00000000" w14:paraId="00000153">
      <w:pPr>
        <w:numPr>
          <w:ilvl w:val="2"/>
          <w:numId w:val="6"/>
        </w:numPr>
        <w:spacing w:after="0" w:afterAutospacing="0" w:before="0" w:beforeAutospacing="0"/>
        <w:ind w:left="3600" w:hanging="360"/>
        <w:rPr>
          <w:color w:val="000000"/>
        </w:rPr>
      </w:pPr>
      <w:r w:rsidDel="00000000" w:rsidR="00000000" w:rsidRPr="00000000">
        <w:rPr>
          <w:rtl w:val="0"/>
        </w:rPr>
        <w:t xml:space="preserve">Any potential impact on the customer or the Firm.</w:t>
      </w:r>
    </w:p>
    <w:p w:rsidR="00000000" w:rsidDel="00000000" w:rsidP="00000000" w:rsidRDefault="00000000" w:rsidRPr="00000000" w14:paraId="00000154">
      <w:pPr>
        <w:numPr>
          <w:ilvl w:val="0"/>
          <w:numId w:val="6"/>
        </w:numPr>
        <w:spacing w:after="0" w:afterAutospacing="0" w:before="0" w:beforeAutospacing="0"/>
        <w:ind w:left="2160" w:hanging="360"/>
        <w:rPr>
          <w:color w:val="000000"/>
        </w:rPr>
      </w:pPr>
      <w:r w:rsidDel="00000000" w:rsidR="00000000" w:rsidRPr="00000000">
        <w:rPr>
          <w:rtl w:val="0"/>
        </w:rPr>
        <w:t xml:space="preserve">Compliance Review and Risk Assessment</w:t>
      </w:r>
    </w:p>
    <w:p w:rsidR="00000000" w:rsidDel="00000000" w:rsidP="00000000" w:rsidRDefault="00000000" w:rsidRPr="00000000" w14:paraId="00000155">
      <w:pPr>
        <w:numPr>
          <w:ilvl w:val="1"/>
          <w:numId w:val="6"/>
        </w:numPr>
        <w:spacing w:after="0" w:afterAutospacing="0" w:before="0" w:beforeAutospacing="0"/>
        <w:ind w:left="2880" w:hanging="360"/>
        <w:rPr>
          <w:color w:val="000000"/>
        </w:rPr>
      </w:pPr>
      <w:r w:rsidDel="00000000" w:rsidR="00000000" w:rsidRPr="00000000">
        <w:rPr>
          <w:rtl w:val="0"/>
        </w:rPr>
        <w:t xml:space="preserve">The Compliance Officer reviews the reported conflict, assesses its risk level, and determines the appropriate action.</w:t>
      </w:r>
    </w:p>
    <w:p w:rsidR="00000000" w:rsidDel="00000000" w:rsidP="00000000" w:rsidRDefault="00000000" w:rsidRPr="00000000" w14:paraId="00000156">
      <w:pPr>
        <w:numPr>
          <w:ilvl w:val="1"/>
          <w:numId w:val="6"/>
        </w:numPr>
        <w:spacing w:after="0" w:afterAutospacing="0" w:before="0" w:beforeAutospacing="0"/>
        <w:ind w:left="2880" w:hanging="360"/>
        <w:rPr>
          <w:color w:val="000000"/>
        </w:rPr>
      </w:pPr>
      <w:r w:rsidDel="00000000" w:rsidR="00000000" w:rsidRPr="00000000">
        <w:rPr>
          <w:rtl w:val="0"/>
        </w:rPr>
        <w:t xml:space="preserve">If the conflict requires further investigation, it is escalated to senior management or the Risk &amp; Compliance Committee.</w:t>
      </w:r>
    </w:p>
    <w:p w:rsidR="00000000" w:rsidDel="00000000" w:rsidP="00000000" w:rsidRDefault="00000000" w:rsidRPr="00000000" w14:paraId="00000157">
      <w:pPr>
        <w:numPr>
          <w:ilvl w:val="0"/>
          <w:numId w:val="6"/>
        </w:numPr>
        <w:spacing w:after="0" w:afterAutospacing="0" w:before="0" w:beforeAutospacing="0"/>
        <w:ind w:left="2160" w:hanging="360"/>
        <w:rPr>
          <w:color w:val="000000"/>
        </w:rPr>
      </w:pPr>
      <w:r w:rsidDel="00000000" w:rsidR="00000000" w:rsidRPr="00000000">
        <w:rPr>
          <w:rtl w:val="0"/>
        </w:rPr>
        <w:t xml:space="preserve">Mitigation and Resolution</w:t>
      </w:r>
    </w:p>
    <w:p w:rsidR="00000000" w:rsidDel="00000000" w:rsidP="00000000" w:rsidRDefault="00000000" w:rsidRPr="00000000" w14:paraId="00000158">
      <w:pPr>
        <w:numPr>
          <w:ilvl w:val="1"/>
          <w:numId w:val="6"/>
        </w:numPr>
        <w:spacing w:after="0" w:afterAutospacing="0" w:before="0" w:beforeAutospacing="0"/>
        <w:ind w:left="2880" w:hanging="360"/>
        <w:rPr>
          <w:color w:val="000000"/>
        </w:rPr>
      </w:pPr>
      <w:r w:rsidDel="00000000" w:rsidR="00000000" w:rsidRPr="00000000">
        <w:rPr>
          <w:rtl w:val="0"/>
        </w:rPr>
        <w:t xml:space="preserve">The Firm will determine the appropriate mitigation measures, which may include:</w:t>
      </w:r>
    </w:p>
    <w:p w:rsidR="00000000" w:rsidDel="00000000" w:rsidP="00000000" w:rsidRDefault="00000000" w:rsidRPr="00000000" w14:paraId="00000159">
      <w:pPr>
        <w:numPr>
          <w:ilvl w:val="2"/>
          <w:numId w:val="6"/>
        </w:numPr>
        <w:spacing w:after="0" w:afterAutospacing="0" w:before="0" w:beforeAutospacing="0"/>
        <w:ind w:left="3600" w:hanging="360"/>
        <w:rPr>
          <w:color w:val="000000"/>
        </w:rPr>
      </w:pPr>
      <w:r w:rsidDel="00000000" w:rsidR="00000000" w:rsidRPr="00000000">
        <w:rPr>
          <w:rtl w:val="0"/>
        </w:rPr>
        <w:t xml:space="preserve">Additional controls or disclosures to reduce risk.</w:t>
      </w:r>
    </w:p>
    <w:p w:rsidR="00000000" w:rsidDel="00000000" w:rsidP="00000000" w:rsidRDefault="00000000" w:rsidRPr="00000000" w14:paraId="0000015A">
      <w:pPr>
        <w:numPr>
          <w:ilvl w:val="2"/>
          <w:numId w:val="6"/>
        </w:numPr>
        <w:spacing w:after="0" w:afterAutospacing="0" w:before="0" w:beforeAutospacing="0"/>
        <w:ind w:left="3600" w:hanging="360"/>
        <w:rPr>
          <w:color w:val="000000"/>
        </w:rPr>
      </w:pPr>
      <w:r w:rsidDel="00000000" w:rsidR="00000000" w:rsidRPr="00000000">
        <w:rPr>
          <w:rtl w:val="0"/>
        </w:rPr>
        <w:t xml:space="preserve">Recusal of affected employees from decision-making.</w:t>
      </w:r>
    </w:p>
    <w:p w:rsidR="00000000" w:rsidDel="00000000" w:rsidP="00000000" w:rsidRDefault="00000000" w:rsidRPr="00000000" w14:paraId="0000015B">
      <w:pPr>
        <w:numPr>
          <w:ilvl w:val="2"/>
          <w:numId w:val="6"/>
        </w:numPr>
        <w:spacing w:after="0" w:afterAutospacing="0" w:before="0" w:beforeAutospacing="0"/>
        <w:ind w:left="3600" w:hanging="360"/>
        <w:rPr>
          <w:color w:val="000000"/>
        </w:rPr>
      </w:pPr>
      <w:r w:rsidDel="00000000" w:rsidR="00000000" w:rsidRPr="00000000">
        <w:rPr>
          <w:rtl w:val="0"/>
        </w:rPr>
        <w:t xml:space="preserve">Restructuring business processes to prevent similar conflicts in the future.</w:t>
      </w:r>
    </w:p>
    <w:p w:rsidR="00000000" w:rsidDel="00000000" w:rsidP="00000000" w:rsidRDefault="00000000" w:rsidRPr="00000000" w14:paraId="0000015C">
      <w:pPr>
        <w:numPr>
          <w:ilvl w:val="0"/>
          <w:numId w:val="6"/>
        </w:numPr>
        <w:spacing w:after="0" w:afterAutospacing="0" w:before="0" w:beforeAutospacing="0"/>
        <w:ind w:left="2160" w:hanging="360"/>
        <w:rPr>
          <w:color w:val="000000"/>
        </w:rPr>
      </w:pPr>
      <w:r w:rsidDel="00000000" w:rsidR="00000000" w:rsidRPr="00000000">
        <w:rPr>
          <w:rtl w:val="0"/>
        </w:rPr>
        <w:t xml:space="preserve">Recording in the Conflicts of Interest Register</w:t>
      </w:r>
    </w:p>
    <w:p w:rsidR="00000000" w:rsidDel="00000000" w:rsidP="00000000" w:rsidRDefault="00000000" w:rsidRPr="00000000" w14:paraId="0000015D">
      <w:pPr>
        <w:numPr>
          <w:ilvl w:val="1"/>
          <w:numId w:val="6"/>
        </w:numPr>
        <w:spacing w:after="0" w:afterAutospacing="0" w:before="0" w:beforeAutospacing="0"/>
        <w:ind w:left="2880" w:hanging="360"/>
        <w:rPr>
          <w:color w:val="000000"/>
        </w:rPr>
      </w:pPr>
      <w:r w:rsidDel="00000000" w:rsidR="00000000" w:rsidRPr="00000000">
        <w:rPr>
          <w:rtl w:val="0"/>
        </w:rPr>
        <w:t xml:space="preserve">The Conflicts of Interest Register documents all reported conflicts and the actions taken for audit and regulatory purposes.</w:t>
      </w:r>
    </w:p>
    <w:p w:rsidR="00000000" w:rsidDel="00000000" w:rsidP="00000000" w:rsidRDefault="00000000" w:rsidRPr="00000000" w14:paraId="0000015E">
      <w:pPr>
        <w:numPr>
          <w:ilvl w:val="1"/>
          <w:numId w:val="6"/>
        </w:numPr>
        <w:spacing w:before="0" w:beforeAutospacing="0"/>
        <w:ind w:left="2880" w:hanging="360"/>
        <w:rPr>
          <w:color w:val="000000"/>
        </w:rPr>
      </w:pPr>
      <w:r w:rsidDel="00000000" w:rsidR="00000000" w:rsidRPr="00000000">
        <w:rPr>
          <w:rtl w:val="0"/>
        </w:rPr>
        <w:t xml:space="preserve">The register is periodically reviewed by senior management to ensure the effectiveness of conflict mitigation measures.</w:t>
      </w:r>
    </w:p>
    <w:p w:rsidR="00000000" w:rsidDel="00000000" w:rsidP="00000000" w:rsidRDefault="00000000" w:rsidRPr="00000000" w14:paraId="0000015F">
      <w:pPr>
        <w:ind w:left="1440" w:firstLine="0"/>
        <w:rPr/>
      </w:pPr>
      <w:r w:rsidDel="00000000" w:rsidR="00000000" w:rsidRPr="00000000">
        <w:rPr>
          <w:rtl w:val="0"/>
        </w:rPr>
        <w:t xml:space="preserve">Whistleblowing and Anonymous Reporting:</w:t>
      </w:r>
    </w:p>
    <w:p w:rsidR="00000000" w:rsidDel="00000000" w:rsidP="00000000" w:rsidRDefault="00000000" w:rsidRPr="00000000" w14:paraId="00000160">
      <w:pPr>
        <w:numPr>
          <w:ilvl w:val="0"/>
          <w:numId w:val="17"/>
        </w:numPr>
        <w:spacing w:after="0" w:afterAutospacing="0"/>
        <w:ind w:left="2160" w:hanging="360"/>
        <w:rPr>
          <w:color w:val="000000"/>
        </w:rPr>
      </w:pPr>
      <w:r w:rsidDel="00000000" w:rsidR="00000000" w:rsidRPr="00000000">
        <w:rPr>
          <w:rtl w:val="0"/>
        </w:rPr>
        <w:t xml:space="preserve">The Firm provides a confidential whistleblowing channel for employees who suspect a conflict of interest has not been adequately disclosed or managed.</w:t>
      </w:r>
    </w:p>
    <w:p w:rsidR="00000000" w:rsidDel="00000000" w:rsidP="00000000" w:rsidRDefault="00000000" w:rsidRPr="00000000" w14:paraId="00000161">
      <w:pPr>
        <w:numPr>
          <w:ilvl w:val="0"/>
          <w:numId w:val="17"/>
        </w:numPr>
        <w:spacing w:before="0" w:beforeAutospacing="0"/>
        <w:ind w:left="2160" w:hanging="360"/>
        <w:rPr>
          <w:color w:val="000000"/>
        </w:rPr>
      </w:pPr>
      <w:r w:rsidDel="00000000" w:rsidR="00000000" w:rsidRPr="00000000">
        <w:rPr>
          <w:rtl w:val="0"/>
        </w:rPr>
        <w:t xml:space="preserve">Employees may report concerns anonymously without fear of retaliation, ensuring that unethical or non-compliant practices are swiftly addressed.</w:t>
      </w:r>
    </w:p>
    <w:p w:rsidR="00000000" w:rsidDel="00000000" w:rsidP="00000000" w:rsidRDefault="00000000" w:rsidRPr="00000000" w14:paraId="00000162">
      <w:pPr>
        <w:ind w:left="1440" w:firstLine="0"/>
        <w:rPr/>
      </w:pPr>
      <w:r w:rsidDel="00000000" w:rsidR="00000000" w:rsidRPr="00000000">
        <w:rPr>
          <w:rtl w:val="0"/>
        </w:rPr>
        <w:t xml:space="preserve">By embedding a clear, well-structured reporting framework, the Firm ensures that conflicts are identified, escalated, and resolved in a manner that protects customer interests and maintains regulatory compliance.</w:t>
      </w:r>
    </w:p>
    <w:p w:rsidR="00000000" w:rsidDel="00000000" w:rsidP="00000000" w:rsidRDefault="00000000" w:rsidRPr="00000000" w14:paraId="00000163">
      <w:pPr>
        <w:pStyle w:val="Heading2"/>
        <w:ind w:left="1440" w:firstLine="0"/>
        <w:rPr/>
      </w:pPr>
      <w:bookmarkStart w:colFirst="0" w:colLast="0" w:name="_cdftqmg326en" w:id="35"/>
      <w:bookmarkEnd w:id="35"/>
      <w:r w:rsidDel="00000000" w:rsidR="00000000" w:rsidRPr="00000000">
        <w:rPr>
          <w:rtl w:val="0"/>
        </w:rPr>
        <w:t xml:space="preserve">6.3 Disciplinary Consequences for Non-Compliance</w:t>
      </w:r>
    </w:p>
    <w:p w:rsidR="00000000" w:rsidDel="00000000" w:rsidP="00000000" w:rsidRDefault="00000000" w:rsidRPr="00000000" w14:paraId="00000164">
      <w:pPr>
        <w:ind w:left="1440" w:firstLine="0"/>
        <w:rPr/>
      </w:pPr>
      <w:r w:rsidDel="00000000" w:rsidR="00000000" w:rsidRPr="00000000">
        <w:rPr>
          <w:rtl w:val="0"/>
        </w:rPr>
        <w:t xml:space="preserve">Failure to identify, disclose, or properly manage conflicts of interest can result in severe regulatory and reputational consequences for the Firm. To reinforce accountability, the Firm has implemented a strict disciplinary framework for employees who fail to comply with the Conflicts of Interest Policy.</w:t>
      </w:r>
    </w:p>
    <w:p w:rsidR="00000000" w:rsidDel="00000000" w:rsidP="00000000" w:rsidRDefault="00000000" w:rsidRPr="00000000" w14:paraId="00000165">
      <w:pPr>
        <w:ind w:left="1440" w:firstLine="0"/>
        <w:rPr/>
      </w:pPr>
      <w:r w:rsidDel="00000000" w:rsidR="00000000" w:rsidRPr="00000000">
        <w:rPr>
          <w:rtl w:val="0"/>
        </w:rPr>
        <w:t xml:space="preserve">Types of Non-Compliance:</w:t>
      </w:r>
    </w:p>
    <w:p w:rsidR="00000000" w:rsidDel="00000000" w:rsidP="00000000" w:rsidRDefault="00000000" w:rsidRPr="00000000" w14:paraId="00000166">
      <w:pPr>
        <w:numPr>
          <w:ilvl w:val="0"/>
          <w:numId w:val="9"/>
        </w:numPr>
        <w:spacing w:after="0" w:afterAutospacing="0"/>
        <w:ind w:left="2160" w:hanging="360"/>
        <w:rPr>
          <w:color w:val="000000"/>
        </w:rPr>
      </w:pPr>
      <w:r w:rsidDel="00000000" w:rsidR="00000000" w:rsidRPr="00000000">
        <w:rPr>
          <w:rtl w:val="0"/>
        </w:rPr>
        <w:t xml:space="preserve">Failure to disclose a conflict of interest promptly.</w:t>
      </w:r>
    </w:p>
    <w:p w:rsidR="00000000" w:rsidDel="00000000" w:rsidP="00000000" w:rsidRDefault="00000000" w:rsidRPr="00000000" w14:paraId="00000167">
      <w:pPr>
        <w:numPr>
          <w:ilvl w:val="0"/>
          <w:numId w:val="9"/>
        </w:numPr>
        <w:spacing w:after="0" w:afterAutospacing="0" w:before="0" w:beforeAutospacing="0"/>
        <w:ind w:left="2160" w:hanging="360"/>
        <w:rPr>
          <w:color w:val="000000"/>
        </w:rPr>
      </w:pPr>
      <w:r w:rsidDel="00000000" w:rsidR="00000000" w:rsidRPr="00000000">
        <w:rPr>
          <w:rtl w:val="0"/>
        </w:rPr>
        <w:t xml:space="preserve">Knowingly engaging in activities that create conflicts of interest without appropriate mitigation.</w:t>
      </w:r>
    </w:p>
    <w:p w:rsidR="00000000" w:rsidDel="00000000" w:rsidP="00000000" w:rsidRDefault="00000000" w:rsidRPr="00000000" w14:paraId="00000168">
      <w:pPr>
        <w:numPr>
          <w:ilvl w:val="0"/>
          <w:numId w:val="9"/>
        </w:numPr>
        <w:spacing w:after="0" w:afterAutospacing="0" w:before="0" w:beforeAutospacing="0"/>
        <w:ind w:left="2160" w:hanging="360"/>
        <w:rPr>
          <w:color w:val="000000"/>
        </w:rPr>
      </w:pPr>
      <w:r w:rsidDel="00000000" w:rsidR="00000000" w:rsidRPr="00000000">
        <w:rPr>
          <w:rtl w:val="0"/>
        </w:rPr>
        <w:t xml:space="preserve">Providing misleading information regarding conflicts of interest.</w:t>
      </w:r>
    </w:p>
    <w:p w:rsidR="00000000" w:rsidDel="00000000" w:rsidP="00000000" w:rsidRDefault="00000000" w:rsidRPr="00000000" w14:paraId="00000169">
      <w:pPr>
        <w:numPr>
          <w:ilvl w:val="0"/>
          <w:numId w:val="9"/>
        </w:numPr>
        <w:spacing w:after="0" w:afterAutospacing="0" w:before="0" w:beforeAutospacing="0"/>
        <w:ind w:left="2160" w:hanging="360"/>
        <w:rPr>
          <w:color w:val="000000"/>
        </w:rPr>
      </w:pPr>
      <w:r w:rsidDel="00000000" w:rsidR="00000000" w:rsidRPr="00000000">
        <w:rPr>
          <w:rtl w:val="0"/>
        </w:rPr>
        <w:t xml:space="preserve">Influencing decision-making in a way that benefits personal interests over client welfare.</w:t>
      </w:r>
    </w:p>
    <w:p w:rsidR="00000000" w:rsidDel="00000000" w:rsidP="00000000" w:rsidRDefault="00000000" w:rsidRPr="00000000" w14:paraId="0000016A">
      <w:pPr>
        <w:numPr>
          <w:ilvl w:val="0"/>
          <w:numId w:val="9"/>
        </w:numPr>
        <w:spacing w:before="0" w:beforeAutospacing="0"/>
        <w:ind w:left="2160" w:hanging="360"/>
        <w:rPr>
          <w:color w:val="000000"/>
        </w:rPr>
      </w:pPr>
      <w:r w:rsidDel="00000000" w:rsidR="00000000" w:rsidRPr="00000000">
        <w:rPr>
          <w:rtl w:val="0"/>
        </w:rPr>
        <w:t xml:space="preserve">Breaching FCA regulatory requirements related to conflicts of interest.</w:t>
      </w:r>
    </w:p>
    <w:p w:rsidR="00000000" w:rsidDel="00000000" w:rsidP="00000000" w:rsidRDefault="00000000" w:rsidRPr="00000000" w14:paraId="0000016B">
      <w:pPr>
        <w:ind w:left="1440" w:firstLine="0"/>
        <w:rPr/>
      </w:pPr>
      <w:r w:rsidDel="00000000" w:rsidR="00000000" w:rsidRPr="00000000">
        <w:rPr>
          <w:rtl w:val="0"/>
        </w:rPr>
        <w:t xml:space="preserve">Disciplinary Actions:</w:t>
      </w:r>
    </w:p>
    <w:p w:rsidR="00000000" w:rsidDel="00000000" w:rsidP="00000000" w:rsidRDefault="00000000" w:rsidRPr="00000000" w14:paraId="0000016C">
      <w:pPr>
        <w:ind w:left="1440" w:firstLine="0"/>
        <w:rPr/>
      </w:pPr>
      <w:r w:rsidDel="00000000" w:rsidR="00000000" w:rsidRPr="00000000">
        <w:rPr>
          <w:rtl w:val="0"/>
        </w:rPr>
        <w:t xml:space="preserve">The Firm applies a proportionate and risk-based disciplinary approach, which may include:</w:t>
      </w:r>
    </w:p>
    <w:p w:rsidR="00000000" w:rsidDel="00000000" w:rsidP="00000000" w:rsidRDefault="00000000" w:rsidRPr="00000000" w14:paraId="0000016D">
      <w:pPr>
        <w:numPr>
          <w:ilvl w:val="0"/>
          <w:numId w:val="27"/>
        </w:numPr>
        <w:spacing w:after="0" w:afterAutospacing="0"/>
        <w:ind w:left="2160" w:hanging="360"/>
        <w:rPr>
          <w:color w:val="000000"/>
        </w:rPr>
      </w:pPr>
      <w:r w:rsidDel="00000000" w:rsidR="00000000" w:rsidRPr="00000000">
        <w:rPr>
          <w:rtl w:val="0"/>
        </w:rPr>
        <w:t xml:space="preserve">Formal Warning</w:t>
      </w:r>
    </w:p>
    <w:p w:rsidR="00000000" w:rsidDel="00000000" w:rsidP="00000000" w:rsidRDefault="00000000" w:rsidRPr="00000000" w14:paraId="0000016E">
      <w:pPr>
        <w:numPr>
          <w:ilvl w:val="1"/>
          <w:numId w:val="27"/>
        </w:numPr>
        <w:spacing w:after="0" w:afterAutospacing="0" w:before="0" w:beforeAutospacing="0"/>
        <w:ind w:left="2880" w:hanging="360"/>
        <w:rPr>
          <w:color w:val="000000"/>
        </w:rPr>
      </w:pPr>
      <w:r w:rsidDel="00000000" w:rsidR="00000000" w:rsidRPr="00000000">
        <w:rPr>
          <w:rtl w:val="0"/>
        </w:rPr>
        <w:t xml:space="preserve">Issued for first-time or minor breaches, with additional training provided to prevent recurrence.</w:t>
      </w:r>
    </w:p>
    <w:p w:rsidR="00000000" w:rsidDel="00000000" w:rsidP="00000000" w:rsidRDefault="00000000" w:rsidRPr="00000000" w14:paraId="0000016F">
      <w:pPr>
        <w:numPr>
          <w:ilvl w:val="0"/>
          <w:numId w:val="27"/>
        </w:numPr>
        <w:spacing w:after="0" w:afterAutospacing="0" w:before="0" w:beforeAutospacing="0"/>
        <w:ind w:left="2160" w:hanging="360"/>
        <w:rPr>
          <w:color w:val="000000"/>
        </w:rPr>
      </w:pPr>
      <w:r w:rsidDel="00000000" w:rsidR="00000000" w:rsidRPr="00000000">
        <w:rPr>
          <w:rtl w:val="0"/>
        </w:rPr>
        <w:t xml:space="preserve">Performance Management Plan</w:t>
      </w:r>
    </w:p>
    <w:p w:rsidR="00000000" w:rsidDel="00000000" w:rsidP="00000000" w:rsidRDefault="00000000" w:rsidRPr="00000000" w14:paraId="00000170">
      <w:pPr>
        <w:numPr>
          <w:ilvl w:val="1"/>
          <w:numId w:val="27"/>
        </w:numPr>
        <w:spacing w:after="0" w:afterAutospacing="0" w:before="0" w:beforeAutospacing="0"/>
        <w:ind w:left="2880" w:hanging="360"/>
        <w:rPr>
          <w:color w:val="000000"/>
        </w:rPr>
      </w:pPr>
      <w:r w:rsidDel="00000000" w:rsidR="00000000" w:rsidRPr="00000000">
        <w:rPr>
          <w:rtl w:val="0"/>
        </w:rPr>
        <w:t xml:space="preserve">Employees who repeatedly fail to follow conflict management procedures may be placed on a performance improvement plan with ongoing compliance monitoring.</w:t>
      </w:r>
    </w:p>
    <w:p w:rsidR="00000000" w:rsidDel="00000000" w:rsidP="00000000" w:rsidRDefault="00000000" w:rsidRPr="00000000" w14:paraId="00000171">
      <w:pPr>
        <w:numPr>
          <w:ilvl w:val="0"/>
          <w:numId w:val="27"/>
        </w:numPr>
        <w:spacing w:after="0" w:afterAutospacing="0" w:before="0" w:beforeAutospacing="0"/>
        <w:ind w:left="2160" w:hanging="360"/>
        <w:rPr>
          <w:color w:val="000000"/>
        </w:rPr>
      </w:pPr>
      <w:r w:rsidDel="00000000" w:rsidR="00000000" w:rsidRPr="00000000">
        <w:rPr>
          <w:rtl w:val="0"/>
        </w:rPr>
        <w:t xml:space="preserve">Suspension or Removal from Key Responsibilities</w:t>
      </w:r>
    </w:p>
    <w:p w:rsidR="00000000" w:rsidDel="00000000" w:rsidP="00000000" w:rsidRDefault="00000000" w:rsidRPr="00000000" w14:paraId="00000172">
      <w:pPr>
        <w:numPr>
          <w:ilvl w:val="1"/>
          <w:numId w:val="27"/>
        </w:numPr>
        <w:spacing w:after="0" w:afterAutospacing="0" w:before="0" w:beforeAutospacing="0"/>
        <w:ind w:left="2880" w:hanging="360"/>
        <w:rPr>
          <w:color w:val="000000"/>
        </w:rPr>
      </w:pPr>
      <w:r w:rsidDel="00000000" w:rsidR="00000000" w:rsidRPr="00000000">
        <w:rPr>
          <w:rtl w:val="0"/>
        </w:rPr>
        <w:t xml:space="preserve">Employees who engage in high-risk conflict-related breaches may be temporarily removed from decision-making roles.</w:t>
      </w:r>
    </w:p>
    <w:p w:rsidR="00000000" w:rsidDel="00000000" w:rsidP="00000000" w:rsidRDefault="00000000" w:rsidRPr="00000000" w14:paraId="00000173">
      <w:pPr>
        <w:numPr>
          <w:ilvl w:val="0"/>
          <w:numId w:val="27"/>
        </w:numPr>
        <w:spacing w:after="0" w:afterAutospacing="0" w:before="0" w:beforeAutospacing="0"/>
        <w:ind w:left="2160" w:hanging="360"/>
        <w:rPr>
          <w:color w:val="000000"/>
        </w:rPr>
      </w:pPr>
      <w:r w:rsidDel="00000000" w:rsidR="00000000" w:rsidRPr="00000000">
        <w:rPr>
          <w:rtl w:val="0"/>
        </w:rPr>
        <w:t xml:space="preserve">Dismissal for Gross Misconduct</w:t>
      </w:r>
    </w:p>
    <w:p w:rsidR="00000000" w:rsidDel="00000000" w:rsidP="00000000" w:rsidRDefault="00000000" w:rsidRPr="00000000" w14:paraId="00000174">
      <w:pPr>
        <w:numPr>
          <w:ilvl w:val="1"/>
          <w:numId w:val="27"/>
        </w:numPr>
        <w:spacing w:after="0" w:afterAutospacing="0" w:before="0" w:beforeAutospacing="0"/>
        <w:ind w:left="2880" w:hanging="360"/>
        <w:rPr>
          <w:color w:val="000000"/>
        </w:rPr>
      </w:pPr>
      <w:r w:rsidDel="00000000" w:rsidR="00000000" w:rsidRPr="00000000">
        <w:rPr>
          <w:rtl w:val="0"/>
        </w:rPr>
        <w:t xml:space="preserve">Serious breaches, such as concealing conflicts of interest, engaging in unethical behaviour, or causing financial harm to clients, may result in termination of employment.</w:t>
      </w:r>
    </w:p>
    <w:p w:rsidR="00000000" w:rsidDel="00000000" w:rsidP="00000000" w:rsidRDefault="00000000" w:rsidRPr="00000000" w14:paraId="00000175">
      <w:pPr>
        <w:numPr>
          <w:ilvl w:val="0"/>
          <w:numId w:val="27"/>
        </w:numPr>
        <w:spacing w:after="0" w:afterAutospacing="0" w:before="0" w:beforeAutospacing="0"/>
        <w:ind w:left="2160" w:hanging="360"/>
        <w:rPr>
          <w:color w:val="000000"/>
        </w:rPr>
      </w:pPr>
      <w:r w:rsidDel="00000000" w:rsidR="00000000" w:rsidRPr="00000000">
        <w:rPr>
          <w:rtl w:val="0"/>
        </w:rPr>
        <w:t xml:space="preserve">Regulatory Reporting and FCA Notification</w:t>
      </w:r>
    </w:p>
    <w:p w:rsidR="00000000" w:rsidDel="00000000" w:rsidP="00000000" w:rsidRDefault="00000000" w:rsidRPr="00000000" w14:paraId="00000176">
      <w:pPr>
        <w:numPr>
          <w:ilvl w:val="1"/>
          <w:numId w:val="27"/>
        </w:numPr>
        <w:spacing w:after="0" w:afterAutospacing="0" w:before="0" w:beforeAutospacing="0"/>
        <w:ind w:left="2880" w:hanging="360"/>
        <w:rPr>
          <w:color w:val="000000"/>
        </w:rPr>
      </w:pPr>
      <w:r w:rsidDel="00000000" w:rsidR="00000000" w:rsidRPr="00000000">
        <w:rPr>
          <w:rtl w:val="0"/>
        </w:rPr>
        <w:t xml:space="preserve">If a regulatory breach occurs, the Firm may be required to notify the FCA and take corrective actions, which could lead to:</w:t>
      </w:r>
    </w:p>
    <w:p w:rsidR="00000000" w:rsidDel="00000000" w:rsidP="00000000" w:rsidRDefault="00000000" w:rsidRPr="00000000" w14:paraId="00000177">
      <w:pPr>
        <w:numPr>
          <w:ilvl w:val="2"/>
          <w:numId w:val="27"/>
        </w:numPr>
        <w:spacing w:after="0" w:afterAutospacing="0" w:before="0" w:beforeAutospacing="0"/>
        <w:ind w:left="3600" w:hanging="360"/>
        <w:rPr>
          <w:color w:val="000000"/>
        </w:rPr>
      </w:pPr>
      <w:r w:rsidDel="00000000" w:rsidR="00000000" w:rsidRPr="00000000">
        <w:rPr>
          <w:rtl w:val="0"/>
        </w:rPr>
        <w:t xml:space="preserve">Fines or penalties imposed by the FCA.</w:t>
      </w:r>
    </w:p>
    <w:p w:rsidR="00000000" w:rsidDel="00000000" w:rsidP="00000000" w:rsidRDefault="00000000" w:rsidRPr="00000000" w14:paraId="00000178">
      <w:pPr>
        <w:numPr>
          <w:ilvl w:val="2"/>
          <w:numId w:val="27"/>
        </w:numPr>
        <w:spacing w:after="0" w:afterAutospacing="0" w:before="0" w:beforeAutospacing="0"/>
        <w:ind w:left="3600" w:hanging="360"/>
        <w:rPr>
          <w:color w:val="000000"/>
        </w:rPr>
      </w:pPr>
      <w:r w:rsidDel="00000000" w:rsidR="00000000" w:rsidRPr="00000000">
        <w:rPr>
          <w:rtl w:val="0"/>
        </w:rPr>
        <w:t xml:space="preserve">Restrictions on business operations or removal of permissions.</w:t>
      </w:r>
    </w:p>
    <w:p w:rsidR="00000000" w:rsidDel="00000000" w:rsidP="00000000" w:rsidRDefault="00000000" w:rsidRPr="00000000" w14:paraId="00000179">
      <w:pPr>
        <w:numPr>
          <w:ilvl w:val="2"/>
          <w:numId w:val="27"/>
        </w:numPr>
        <w:spacing w:before="0" w:beforeAutospacing="0"/>
        <w:ind w:left="3600" w:hanging="360"/>
        <w:rPr>
          <w:color w:val="000000"/>
        </w:rPr>
      </w:pPr>
      <w:r w:rsidDel="00000000" w:rsidR="00000000" w:rsidRPr="00000000">
        <w:rPr>
          <w:rtl w:val="0"/>
        </w:rPr>
        <w:t xml:space="preserve">Personal liability for senior management under the Senior Managers &amp; Certification Regime (SM&amp;CR).</w:t>
      </w:r>
    </w:p>
    <w:p w:rsidR="00000000" w:rsidDel="00000000" w:rsidP="00000000" w:rsidRDefault="00000000" w:rsidRPr="00000000" w14:paraId="0000017A">
      <w:pPr>
        <w:ind w:left="1440" w:firstLine="0"/>
        <w:rPr/>
      </w:pPr>
      <w:r w:rsidDel="00000000" w:rsidR="00000000" w:rsidRPr="00000000">
        <w:rPr>
          <w:rtl w:val="0"/>
        </w:rPr>
        <w:t xml:space="preserve">Mitigating Risks through Preventative Action:</w:t>
      </w:r>
    </w:p>
    <w:p w:rsidR="00000000" w:rsidDel="00000000" w:rsidP="00000000" w:rsidRDefault="00000000" w:rsidRPr="00000000" w14:paraId="0000017B">
      <w:pPr>
        <w:ind w:left="1440" w:firstLine="0"/>
        <w:rPr/>
      </w:pPr>
      <w:r w:rsidDel="00000000" w:rsidR="00000000" w:rsidRPr="00000000">
        <w:rPr>
          <w:rtl w:val="0"/>
        </w:rPr>
        <w:t xml:space="preserve">To reduce the likelihood of disciplinary action, the Firm:</w:t>
      </w:r>
    </w:p>
    <w:p w:rsidR="00000000" w:rsidDel="00000000" w:rsidP="00000000" w:rsidRDefault="00000000" w:rsidRPr="00000000" w14:paraId="0000017C">
      <w:pPr>
        <w:numPr>
          <w:ilvl w:val="0"/>
          <w:numId w:val="4"/>
        </w:numPr>
        <w:spacing w:after="0" w:afterAutospacing="0"/>
        <w:ind w:left="2160" w:hanging="360"/>
        <w:rPr>
          <w:color w:val="000000"/>
        </w:rPr>
      </w:pPr>
      <w:r w:rsidDel="00000000" w:rsidR="00000000" w:rsidRPr="00000000">
        <w:rPr>
          <w:rtl w:val="0"/>
        </w:rPr>
        <w:t xml:space="preserve">Provides clear guidance on conflict reporting and management.</w:t>
      </w:r>
    </w:p>
    <w:p w:rsidR="00000000" w:rsidDel="00000000" w:rsidP="00000000" w:rsidRDefault="00000000" w:rsidRPr="00000000" w14:paraId="0000017D">
      <w:pPr>
        <w:numPr>
          <w:ilvl w:val="0"/>
          <w:numId w:val="4"/>
        </w:numPr>
        <w:spacing w:after="0" w:afterAutospacing="0" w:before="0" w:beforeAutospacing="0"/>
        <w:ind w:left="2160" w:hanging="360"/>
        <w:rPr>
          <w:color w:val="000000"/>
        </w:rPr>
      </w:pPr>
      <w:r w:rsidDel="00000000" w:rsidR="00000000" w:rsidRPr="00000000">
        <w:rPr>
          <w:rtl w:val="0"/>
        </w:rPr>
        <w:t xml:space="preserve">Encourages a culture of transparency where employees feel safe reporting conflicts of interest.</w:t>
      </w:r>
    </w:p>
    <w:p w:rsidR="00000000" w:rsidDel="00000000" w:rsidP="00000000" w:rsidRDefault="00000000" w:rsidRPr="00000000" w14:paraId="0000017E">
      <w:pPr>
        <w:numPr>
          <w:ilvl w:val="0"/>
          <w:numId w:val="4"/>
        </w:numPr>
        <w:spacing w:before="0" w:beforeAutospacing="0"/>
        <w:ind w:left="2160" w:hanging="360"/>
        <w:rPr>
          <w:color w:val="000000"/>
        </w:rPr>
      </w:pPr>
      <w:r w:rsidDel="00000000" w:rsidR="00000000" w:rsidRPr="00000000">
        <w:rPr>
          <w:rtl w:val="0"/>
        </w:rPr>
        <w:t xml:space="preserve">Conducts ongoing monitoring to detect non-compliance before it escalates into regulatory breaches.</w:t>
      </w:r>
    </w:p>
    <w:p w:rsidR="00000000" w:rsidDel="00000000" w:rsidP="00000000" w:rsidRDefault="00000000" w:rsidRPr="00000000" w14:paraId="0000017F">
      <w:pPr>
        <w:ind w:left="1440" w:firstLine="0"/>
        <w:rPr/>
      </w:pPr>
      <w:r w:rsidDel="00000000" w:rsidR="00000000" w:rsidRPr="00000000">
        <w:rPr>
          <w:rtl w:val="0"/>
        </w:rPr>
        <w:t xml:space="preserve">By enforcing strict disciplinary measures, the Firm ensures that employees remain accountable for upholding ethical standards, customer fairness, and regulatory compliance.</w:t>
      </w:r>
    </w:p>
    <w:p w:rsidR="00000000" w:rsidDel="00000000" w:rsidP="00000000" w:rsidRDefault="00000000" w:rsidRPr="00000000" w14:paraId="00000180">
      <w:pPr>
        <w:ind w:left="1440" w:firstLine="0"/>
        <w:rPr/>
      </w:pPr>
      <w:r w:rsidDel="00000000" w:rsidR="00000000" w:rsidRPr="00000000">
        <w:br w:type="page"/>
      </w:r>
      <w:r w:rsidDel="00000000" w:rsidR="00000000" w:rsidRPr="00000000">
        <w:rPr>
          <w:rtl w:val="0"/>
        </w:rPr>
      </w:r>
    </w:p>
    <w:p w:rsidR="00000000" w:rsidDel="00000000" w:rsidP="00000000" w:rsidRDefault="00000000" w:rsidRPr="00000000" w14:paraId="00000181">
      <w:pPr>
        <w:pStyle w:val="Heading1"/>
        <w:rPr/>
      </w:pPr>
      <w:bookmarkStart w:colFirst="0" w:colLast="0" w:name="_j9h2ct4x96ys" w:id="36"/>
      <w:bookmarkEnd w:id="36"/>
      <w:r w:rsidDel="00000000" w:rsidR="00000000" w:rsidRPr="00000000">
        <w:rPr>
          <w:rtl w:val="0"/>
        </w:rPr>
        <w:t xml:space="preserve">7. Policy Review and Updates</w:t>
      </w:r>
    </w:p>
    <w:p w:rsidR="00000000" w:rsidDel="00000000" w:rsidP="00000000" w:rsidRDefault="00000000" w:rsidRPr="00000000" w14:paraId="00000182">
      <w:pPr>
        <w:ind w:left="1440" w:firstLine="0"/>
        <w:rPr/>
      </w:pPr>
      <w:r w:rsidDel="00000000" w:rsidR="00000000" w:rsidRPr="00000000">
        <w:rPr>
          <w:rtl w:val="0"/>
        </w:rPr>
        <w:t xml:space="preserve">Regular reviews, updates, and senior management oversight are required to ensure the ongoing effectiveness and regulatory compliance of the Firm’s Conflicts of Interest Policy. This ensures that the policy remains aligned with FCA regulations, evolving business practices, and emerging risks in the consumer credit sector.</w:t>
      </w:r>
    </w:p>
    <w:p w:rsidR="00000000" w:rsidDel="00000000" w:rsidP="00000000" w:rsidRDefault="00000000" w:rsidRPr="00000000" w14:paraId="00000183">
      <w:pPr>
        <w:pStyle w:val="Heading2"/>
        <w:ind w:left="1440" w:firstLine="0"/>
        <w:rPr/>
      </w:pPr>
      <w:bookmarkStart w:colFirst="0" w:colLast="0" w:name="_z03ps94q43c4" w:id="37"/>
      <w:bookmarkEnd w:id="37"/>
      <w:r w:rsidDel="00000000" w:rsidR="00000000" w:rsidRPr="00000000">
        <w:rPr>
          <w:rtl w:val="0"/>
        </w:rPr>
        <w:t xml:space="preserve">7.1 Annual Review and Updates</w:t>
      </w:r>
    </w:p>
    <w:p w:rsidR="00000000" w:rsidDel="00000000" w:rsidP="00000000" w:rsidRDefault="00000000" w:rsidRPr="00000000" w14:paraId="00000184">
      <w:pPr>
        <w:ind w:left="1440" w:firstLine="0"/>
        <w:rPr/>
      </w:pPr>
      <w:r w:rsidDel="00000000" w:rsidR="00000000" w:rsidRPr="00000000">
        <w:rPr>
          <w:rtl w:val="0"/>
        </w:rPr>
        <w:t xml:space="preserve">The Firm conducts a formal review of this policy at least annually or more frequently if required due to regulatory changes, business developments, or identified deficiencies in conflict management procedures.</w:t>
      </w:r>
    </w:p>
    <w:p w:rsidR="00000000" w:rsidDel="00000000" w:rsidP="00000000" w:rsidRDefault="00000000" w:rsidRPr="00000000" w14:paraId="00000185">
      <w:pPr>
        <w:ind w:left="1440" w:firstLine="0"/>
        <w:rPr/>
      </w:pPr>
      <w:r w:rsidDel="00000000" w:rsidR="00000000" w:rsidRPr="00000000">
        <w:rPr>
          <w:rtl w:val="0"/>
        </w:rPr>
        <w:t xml:space="preserve">Key Aspects of the Review Process:</w:t>
      </w:r>
    </w:p>
    <w:p w:rsidR="00000000" w:rsidDel="00000000" w:rsidP="00000000" w:rsidRDefault="00000000" w:rsidRPr="00000000" w14:paraId="00000186">
      <w:pPr>
        <w:numPr>
          <w:ilvl w:val="0"/>
          <w:numId w:val="25"/>
        </w:numPr>
        <w:spacing w:after="0" w:afterAutospacing="0"/>
        <w:ind w:left="2160" w:hanging="360"/>
        <w:rPr>
          <w:color w:val="000000"/>
        </w:rPr>
      </w:pPr>
      <w:r w:rsidDel="00000000" w:rsidR="00000000" w:rsidRPr="00000000">
        <w:rPr>
          <w:rtl w:val="0"/>
        </w:rPr>
        <w:t xml:space="preserve">Regulatory Compliance Assessment:</w:t>
      </w:r>
    </w:p>
    <w:p w:rsidR="00000000" w:rsidDel="00000000" w:rsidP="00000000" w:rsidRDefault="00000000" w:rsidRPr="00000000" w14:paraId="00000187">
      <w:pPr>
        <w:numPr>
          <w:ilvl w:val="1"/>
          <w:numId w:val="25"/>
        </w:numPr>
        <w:spacing w:after="0" w:afterAutospacing="0" w:before="0" w:beforeAutospacing="0"/>
        <w:ind w:left="2880" w:hanging="360"/>
        <w:rPr>
          <w:color w:val="000000"/>
        </w:rPr>
      </w:pPr>
      <w:r w:rsidDel="00000000" w:rsidR="00000000" w:rsidRPr="00000000">
        <w:rPr>
          <w:rtl w:val="0"/>
        </w:rPr>
        <w:t xml:space="preserve">Ensuring the policy aligns with FCA Handbook (SYSC 10, PRIN 8, and CONC) requirements.</w:t>
      </w:r>
    </w:p>
    <w:p w:rsidR="00000000" w:rsidDel="00000000" w:rsidP="00000000" w:rsidRDefault="00000000" w:rsidRPr="00000000" w14:paraId="00000188">
      <w:pPr>
        <w:numPr>
          <w:ilvl w:val="1"/>
          <w:numId w:val="25"/>
        </w:numPr>
        <w:spacing w:after="0" w:afterAutospacing="0" w:before="0" w:beforeAutospacing="0"/>
        <w:ind w:left="2880" w:hanging="360"/>
        <w:rPr>
          <w:color w:val="000000"/>
        </w:rPr>
      </w:pPr>
      <w:r w:rsidDel="00000000" w:rsidR="00000000" w:rsidRPr="00000000">
        <w:rPr>
          <w:rtl w:val="0"/>
        </w:rPr>
        <w:t xml:space="preserve">Assessing whether the policy reflects any new FCA guidance, enforcement actions, or industry best practices.</w:t>
      </w:r>
    </w:p>
    <w:p w:rsidR="00000000" w:rsidDel="00000000" w:rsidP="00000000" w:rsidRDefault="00000000" w:rsidRPr="00000000" w14:paraId="00000189">
      <w:pPr>
        <w:numPr>
          <w:ilvl w:val="0"/>
          <w:numId w:val="25"/>
        </w:numPr>
        <w:spacing w:after="0" w:afterAutospacing="0" w:before="0" w:beforeAutospacing="0"/>
        <w:ind w:left="2160" w:hanging="360"/>
        <w:rPr>
          <w:color w:val="000000"/>
        </w:rPr>
      </w:pPr>
      <w:r w:rsidDel="00000000" w:rsidR="00000000" w:rsidRPr="00000000">
        <w:rPr>
          <w:rtl w:val="0"/>
        </w:rPr>
        <w:t xml:space="preserve">Business Risk Evaluation:</w:t>
      </w:r>
    </w:p>
    <w:p w:rsidR="00000000" w:rsidDel="00000000" w:rsidP="00000000" w:rsidRDefault="00000000" w:rsidRPr="00000000" w14:paraId="0000018A">
      <w:pPr>
        <w:numPr>
          <w:ilvl w:val="1"/>
          <w:numId w:val="25"/>
        </w:numPr>
        <w:spacing w:after="0" w:afterAutospacing="0" w:before="0" w:beforeAutospacing="0"/>
        <w:ind w:left="2880" w:hanging="360"/>
        <w:rPr>
          <w:color w:val="000000"/>
        </w:rPr>
      </w:pPr>
      <w:r w:rsidDel="00000000" w:rsidR="00000000" w:rsidRPr="00000000">
        <w:rPr>
          <w:rtl w:val="0"/>
        </w:rPr>
        <w:t xml:space="preserve">Reviewing internal business activities, remuneration structures, and third-party relationships to identify emerging conflicts.</w:t>
      </w:r>
    </w:p>
    <w:p w:rsidR="00000000" w:rsidDel="00000000" w:rsidP="00000000" w:rsidRDefault="00000000" w:rsidRPr="00000000" w14:paraId="0000018B">
      <w:pPr>
        <w:numPr>
          <w:ilvl w:val="1"/>
          <w:numId w:val="25"/>
        </w:numPr>
        <w:spacing w:after="0" w:afterAutospacing="0" w:before="0" w:beforeAutospacing="0"/>
        <w:ind w:left="2880" w:hanging="360"/>
        <w:rPr>
          <w:color w:val="000000"/>
        </w:rPr>
      </w:pPr>
      <w:r w:rsidDel="00000000" w:rsidR="00000000" w:rsidRPr="00000000">
        <w:rPr>
          <w:rtl w:val="0"/>
        </w:rPr>
        <w:t xml:space="preserve">Assessing whether existing controls remain fit for purpose or require enhancement.</w:t>
      </w:r>
    </w:p>
    <w:p w:rsidR="00000000" w:rsidDel="00000000" w:rsidP="00000000" w:rsidRDefault="00000000" w:rsidRPr="00000000" w14:paraId="0000018C">
      <w:pPr>
        <w:numPr>
          <w:ilvl w:val="0"/>
          <w:numId w:val="25"/>
        </w:numPr>
        <w:spacing w:after="0" w:afterAutospacing="0" w:before="0" w:beforeAutospacing="0"/>
        <w:ind w:left="2160" w:hanging="360"/>
        <w:rPr>
          <w:color w:val="000000"/>
        </w:rPr>
      </w:pPr>
      <w:r w:rsidDel="00000000" w:rsidR="00000000" w:rsidRPr="00000000">
        <w:rPr>
          <w:rtl w:val="0"/>
        </w:rPr>
        <w:t xml:space="preserve">Analysis of Conflicts of Interest Register:</w:t>
      </w:r>
    </w:p>
    <w:p w:rsidR="00000000" w:rsidDel="00000000" w:rsidP="00000000" w:rsidRDefault="00000000" w:rsidRPr="00000000" w14:paraId="0000018D">
      <w:pPr>
        <w:numPr>
          <w:ilvl w:val="1"/>
          <w:numId w:val="25"/>
        </w:numPr>
        <w:spacing w:after="0" w:afterAutospacing="0" w:before="0" w:beforeAutospacing="0"/>
        <w:ind w:left="2880" w:hanging="360"/>
        <w:rPr>
          <w:color w:val="000000"/>
        </w:rPr>
      </w:pPr>
      <w:r w:rsidDel="00000000" w:rsidR="00000000" w:rsidRPr="00000000">
        <w:rPr>
          <w:rtl w:val="0"/>
        </w:rPr>
        <w:t xml:space="preserve">Reviewing entries in the register to identify patterns or recurring issues.</w:t>
      </w:r>
    </w:p>
    <w:p w:rsidR="00000000" w:rsidDel="00000000" w:rsidP="00000000" w:rsidRDefault="00000000" w:rsidRPr="00000000" w14:paraId="0000018E">
      <w:pPr>
        <w:numPr>
          <w:ilvl w:val="1"/>
          <w:numId w:val="25"/>
        </w:numPr>
        <w:spacing w:after="0" w:afterAutospacing="0" w:before="0" w:beforeAutospacing="0"/>
        <w:ind w:left="2880" w:hanging="360"/>
        <w:rPr>
          <w:color w:val="000000"/>
        </w:rPr>
      </w:pPr>
      <w:r w:rsidDel="00000000" w:rsidR="00000000" w:rsidRPr="00000000">
        <w:rPr>
          <w:rtl w:val="0"/>
        </w:rPr>
        <w:t xml:space="preserve">Assessing the effectiveness of previous mitigation actions and making necessary improvements.</w:t>
      </w:r>
    </w:p>
    <w:p w:rsidR="00000000" w:rsidDel="00000000" w:rsidP="00000000" w:rsidRDefault="00000000" w:rsidRPr="00000000" w14:paraId="0000018F">
      <w:pPr>
        <w:numPr>
          <w:ilvl w:val="0"/>
          <w:numId w:val="25"/>
        </w:numPr>
        <w:spacing w:after="0" w:afterAutospacing="0" w:before="0" w:beforeAutospacing="0"/>
        <w:ind w:left="2160" w:hanging="360"/>
        <w:rPr>
          <w:color w:val="000000"/>
        </w:rPr>
      </w:pPr>
      <w:r w:rsidDel="00000000" w:rsidR="00000000" w:rsidRPr="00000000">
        <w:rPr>
          <w:rtl w:val="0"/>
        </w:rPr>
        <w:t xml:space="preserve">Feedback from Employees and Compliance Teams:</w:t>
      </w:r>
    </w:p>
    <w:p w:rsidR="00000000" w:rsidDel="00000000" w:rsidP="00000000" w:rsidRDefault="00000000" w:rsidRPr="00000000" w14:paraId="00000190">
      <w:pPr>
        <w:numPr>
          <w:ilvl w:val="1"/>
          <w:numId w:val="25"/>
        </w:numPr>
        <w:spacing w:after="0" w:afterAutospacing="0" w:before="0" w:beforeAutospacing="0"/>
        <w:ind w:left="2880" w:hanging="360"/>
        <w:rPr>
          <w:color w:val="000000"/>
        </w:rPr>
      </w:pPr>
      <w:r w:rsidDel="00000000" w:rsidR="00000000" w:rsidRPr="00000000">
        <w:rPr>
          <w:rtl w:val="0"/>
        </w:rPr>
        <w:t xml:space="preserve">Gathering insights from staff, senior management, and compliance teams on whether the policy is clear, practical, and effective.</w:t>
      </w:r>
    </w:p>
    <w:p w:rsidR="00000000" w:rsidDel="00000000" w:rsidP="00000000" w:rsidRDefault="00000000" w:rsidRPr="00000000" w14:paraId="00000191">
      <w:pPr>
        <w:numPr>
          <w:ilvl w:val="1"/>
          <w:numId w:val="25"/>
        </w:numPr>
        <w:spacing w:after="0" w:afterAutospacing="0" w:before="0" w:beforeAutospacing="0"/>
        <w:ind w:left="2880" w:hanging="360"/>
        <w:rPr>
          <w:color w:val="000000"/>
        </w:rPr>
      </w:pPr>
      <w:r w:rsidDel="00000000" w:rsidR="00000000" w:rsidRPr="00000000">
        <w:rPr>
          <w:rtl w:val="0"/>
        </w:rPr>
        <w:t xml:space="preserve">Addressing any gaps in staff understanding or implementation.</w:t>
      </w:r>
    </w:p>
    <w:p w:rsidR="00000000" w:rsidDel="00000000" w:rsidP="00000000" w:rsidRDefault="00000000" w:rsidRPr="00000000" w14:paraId="00000192">
      <w:pPr>
        <w:numPr>
          <w:ilvl w:val="0"/>
          <w:numId w:val="25"/>
        </w:numPr>
        <w:spacing w:after="0" w:afterAutospacing="0" w:before="0" w:beforeAutospacing="0"/>
        <w:ind w:left="2160" w:hanging="360"/>
        <w:rPr>
          <w:color w:val="000000"/>
        </w:rPr>
      </w:pPr>
      <w:r w:rsidDel="00000000" w:rsidR="00000000" w:rsidRPr="00000000">
        <w:rPr>
          <w:rtl w:val="0"/>
        </w:rPr>
        <w:t xml:space="preserve">Testing the Policy in Practice:</w:t>
      </w:r>
    </w:p>
    <w:p w:rsidR="00000000" w:rsidDel="00000000" w:rsidP="00000000" w:rsidRDefault="00000000" w:rsidRPr="00000000" w14:paraId="00000193">
      <w:pPr>
        <w:numPr>
          <w:ilvl w:val="1"/>
          <w:numId w:val="25"/>
        </w:numPr>
        <w:spacing w:before="0" w:beforeAutospacing="0"/>
        <w:ind w:left="2880" w:hanging="360"/>
        <w:rPr>
          <w:color w:val="000000"/>
        </w:rPr>
      </w:pPr>
      <w:r w:rsidDel="00000000" w:rsidR="00000000" w:rsidRPr="00000000">
        <w:rPr>
          <w:rtl w:val="0"/>
        </w:rPr>
        <w:t xml:space="preserve">Conducting sample audits, risk assessments, and internal investigations to ensure conflicts are correctly identified, reported, and mitigated.</w:t>
      </w:r>
    </w:p>
    <w:p w:rsidR="00000000" w:rsidDel="00000000" w:rsidP="00000000" w:rsidRDefault="00000000" w:rsidRPr="00000000" w14:paraId="00000194">
      <w:pPr>
        <w:ind w:left="1440" w:firstLine="0"/>
        <w:rPr/>
      </w:pPr>
      <w:r w:rsidDel="00000000" w:rsidR="00000000" w:rsidRPr="00000000">
        <w:rPr>
          <w:rtl w:val="0"/>
        </w:rPr>
        <w:t xml:space="preserve">Triggers for an Out-of-Cycle Policy Update:</w:t>
      </w:r>
    </w:p>
    <w:p w:rsidR="00000000" w:rsidDel="00000000" w:rsidP="00000000" w:rsidRDefault="00000000" w:rsidRPr="00000000" w14:paraId="00000195">
      <w:pPr>
        <w:ind w:left="1440" w:firstLine="0"/>
        <w:rPr/>
      </w:pPr>
      <w:r w:rsidDel="00000000" w:rsidR="00000000" w:rsidRPr="00000000">
        <w:rPr>
          <w:rtl w:val="0"/>
        </w:rPr>
        <w:t xml:space="preserve">While the policy is formally reviewed annually, it may be updated at any time in response to:</w:t>
      </w:r>
    </w:p>
    <w:p w:rsidR="00000000" w:rsidDel="00000000" w:rsidP="00000000" w:rsidRDefault="00000000" w:rsidRPr="00000000" w14:paraId="00000196">
      <w:pPr>
        <w:numPr>
          <w:ilvl w:val="0"/>
          <w:numId w:val="30"/>
        </w:numPr>
        <w:spacing w:after="0" w:afterAutospacing="0"/>
        <w:ind w:left="2160" w:hanging="360"/>
        <w:rPr>
          <w:color w:val="000000"/>
        </w:rPr>
      </w:pPr>
      <w:r w:rsidDel="00000000" w:rsidR="00000000" w:rsidRPr="00000000">
        <w:rPr>
          <w:rtl w:val="0"/>
        </w:rPr>
        <w:t xml:space="preserve">FCA rule changes or enforcement actions require policy adjustments.</w:t>
      </w:r>
    </w:p>
    <w:p w:rsidR="00000000" w:rsidDel="00000000" w:rsidP="00000000" w:rsidRDefault="00000000" w:rsidRPr="00000000" w14:paraId="00000197">
      <w:pPr>
        <w:numPr>
          <w:ilvl w:val="0"/>
          <w:numId w:val="30"/>
        </w:numPr>
        <w:spacing w:after="0" w:afterAutospacing="0" w:before="0" w:beforeAutospacing="0"/>
        <w:ind w:left="2160" w:hanging="360"/>
        <w:rPr>
          <w:color w:val="000000"/>
        </w:rPr>
      </w:pPr>
      <w:r w:rsidDel="00000000" w:rsidR="00000000" w:rsidRPr="00000000">
        <w:rPr>
          <w:rtl w:val="0"/>
        </w:rPr>
        <w:t xml:space="preserve">Significant business model changes (e.g., new credit products, third-party agreements, or distribution models).</w:t>
      </w:r>
    </w:p>
    <w:p w:rsidR="00000000" w:rsidDel="00000000" w:rsidP="00000000" w:rsidRDefault="00000000" w:rsidRPr="00000000" w14:paraId="00000198">
      <w:pPr>
        <w:numPr>
          <w:ilvl w:val="0"/>
          <w:numId w:val="30"/>
        </w:numPr>
        <w:spacing w:after="0" w:afterAutospacing="0" w:before="0" w:beforeAutospacing="0"/>
        <w:ind w:left="2160" w:hanging="360"/>
        <w:rPr>
          <w:color w:val="000000"/>
        </w:rPr>
      </w:pPr>
      <w:r w:rsidDel="00000000" w:rsidR="00000000" w:rsidRPr="00000000">
        <w:rPr>
          <w:rtl w:val="0"/>
        </w:rPr>
        <w:t xml:space="preserve">Identification of new conflict risks through compliance monitoring or audits.</w:t>
      </w:r>
    </w:p>
    <w:p w:rsidR="00000000" w:rsidDel="00000000" w:rsidP="00000000" w:rsidRDefault="00000000" w:rsidRPr="00000000" w14:paraId="00000199">
      <w:pPr>
        <w:numPr>
          <w:ilvl w:val="0"/>
          <w:numId w:val="30"/>
        </w:numPr>
        <w:spacing w:before="0" w:beforeAutospacing="0"/>
        <w:ind w:left="2160" w:hanging="360"/>
        <w:rPr>
          <w:color w:val="000000"/>
        </w:rPr>
      </w:pPr>
      <w:r w:rsidDel="00000000" w:rsidR="00000000" w:rsidRPr="00000000">
        <w:rPr>
          <w:rtl w:val="0"/>
        </w:rPr>
        <w:t xml:space="preserve">Internal incidents that expose weaknesses in conflict management procedures.</w:t>
      </w:r>
    </w:p>
    <w:p w:rsidR="00000000" w:rsidDel="00000000" w:rsidP="00000000" w:rsidRDefault="00000000" w:rsidRPr="00000000" w14:paraId="0000019A">
      <w:pPr>
        <w:ind w:left="1440" w:firstLine="0"/>
        <w:rPr/>
      </w:pPr>
      <w:r w:rsidDel="00000000" w:rsidR="00000000" w:rsidRPr="00000000">
        <w:rPr>
          <w:rtl w:val="0"/>
        </w:rPr>
        <w:t xml:space="preserve">All updates must be communicated to staff, ensuring that employees remain informed of any new conflict identification, reporting, or mitigation procedures.</w:t>
      </w:r>
    </w:p>
    <w:p w:rsidR="00000000" w:rsidDel="00000000" w:rsidP="00000000" w:rsidRDefault="00000000" w:rsidRPr="00000000" w14:paraId="0000019B">
      <w:pPr>
        <w:pStyle w:val="Heading2"/>
        <w:ind w:left="1440" w:firstLine="0"/>
        <w:rPr/>
      </w:pPr>
      <w:bookmarkStart w:colFirst="0" w:colLast="0" w:name="_706iux3gbo46" w:id="38"/>
      <w:bookmarkEnd w:id="38"/>
      <w:r w:rsidDel="00000000" w:rsidR="00000000" w:rsidRPr="00000000">
        <w:rPr>
          <w:rtl w:val="0"/>
        </w:rPr>
        <w:t xml:space="preserve">7.2 Approval and Oversight by Senior Management</w:t>
      </w:r>
    </w:p>
    <w:p w:rsidR="00000000" w:rsidDel="00000000" w:rsidP="00000000" w:rsidRDefault="00000000" w:rsidRPr="00000000" w14:paraId="0000019C">
      <w:pPr>
        <w:ind w:left="1440" w:firstLine="0"/>
        <w:rPr/>
      </w:pPr>
      <w:r w:rsidDel="00000000" w:rsidR="00000000" w:rsidRPr="00000000">
        <w:rPr>
          <w:rtl w:val="0"/>
        </w:rPr>
        <w:t xml:space="preserve">Senior management plays a critical role in ensuring the effectiveness of the Conflicts of Interest Policy and its alignment with regulatory obligations and business operations.</w:t>
      </w:r>
    </w:p>
    <w:p w:rsidR="00000000" w:rsidDel="00000000" w:rsidP="00000000" w:rsidRDefault="00000000" w:rsidRPr="00000000" w14:paraId="0000019D">
      <w:pPr>
        <w:ind w:left="1440" w:firstLine="0"/>
        <w:rPr/>
      </w:pPr>
      <w:r w:rsidDel="00000000" w:rsidR="00000000" w:rsidRPr="00000000">
        <w:rPr>
          <w:rtl w:val="0"/>
        </w:rPr>
        <w:t xml:space="preserve">Senior Management Responsibilities:</w:t>
      </w:r>
    </w:p>
    <w:p w:rsidR="00000000" w:rsidDel="00000000" w:rsidP="00000000" w:rsidRDefault="00000000" w:rsidRPr="00000000" w14:paraId="0000019E">
      <w:pPr>
        <w:numPr>
          <w:ilvl w:val="0"/>
          <w:numId w:val="20"/>
        </w:numPr>
        <w:spacing w:after="0" w:afterAutospacing="0"/>
        <w:ind w:left="2160" w:hanging="360"/>
        <w:rPr>
          <w:color w:val="000000"/>
        </w:rPr>
      </w:pPr>
      <w:r w:rsidDel="00000000" w:rsidR="00000000" w:rsidRPr="00000000">
        <w:rPr>
          <w:rtl w:val="0"/>
        </w:rPr>
        <w:t xml:space="preserve">Formal Approval of the Policy:</w:t>
      </w:r>
    </w:p>
    <w:p w:rsidR="00000000" w:rsidDel="00000000" w:rsidP="00000000" w:rsidRDefault="00000000" w:rsidRPr="00000000" w14:paraId="0000019F">
      <w:pPr>
        <w:numPr>
          <w:ilvl w:val="1"/>
          <w:numId w:val="20"/>
        </w:numPr>
        <w:spacing w:after="0" w:afterAutospacing="0" w:before="0" w:beforeAutospacing="0"/>
        <w:ind w:left="2880" w:hanging="360"/>
        <w:rPr>
          <w:color w:val="000000"/>
        </w:rPr>
      </w:pPr>
      <w:r w:rsidDel="00000000" w:rsidR="00000000" w:rsidRPr="00000000">
        <w:rPr>
          <w:rtl w:val="0"/>
        </w:rPr>
        <w:t xml:space="preserve">The policy is subject to annual approval by the Board of Directors or the Risk &amp; Compliance Committee.</w:t>
      </w:r>
    </w:p>
    <w:p w:rsidR="00000000" w:rsidDel="00000000" w:rsidP="00000000" w:rsidRDefault="00000000" w:rsidRPr="00000000" w14:paraId="000001A0">
      <w:pPr>
        <w:numPr>
          <w:ilvl w:val="1"/>
          <w:numId w:val="20"/>
        </w:numPr>
        <w:spacing w:after="0" w:afterAutospacing="0" w:before="0" w:beforeAutospacing="0"/>
        <w:ind w:left="2880" w:hanging="360"/>
        <w:rPr>
          <w:color w:val="000000"/>
        </w:rPr>
      </w:pPr>
      <w:r w:rsidDel="00000000" w:rsidR="00000000" w:rsidRPr="00000000">
        <w:rPr>
          <w:rtl w:val="0"/>
        </w:rPr>
        <w:t xml:space="preserve">Any material amendments require formal sign-off from senior leadership before implementation.</w:t>
      </w:r>
    </w:p>
    <w:p w:rsidR="00000000" w:rsidDel="00000000" w:rsidP="00000000" w:rsidRDefault="00000000" w:rsidRPr="00000000" w14:paraId="000001A1">
      <w:pPr>
        <w:numPr>
          <w:ilvl w:val="0"/>
          <w:numId w:val="20"/>
        </w:numPr>
        <w:spacing w:after="0" w:afterAutospacing="0" w:before="0" w:beforeAutospacing="0"/>
        <w:ind w:left="2160" w:hanging="360"/>
        <w:rPr>
          <w:color w:val="000000"/>
        </w:rPr>
      </w:pPr>
      <w:r w:rsidDel="00000000" w:rsidR="00000000" w:rsidRPr="00000000">
        <w:rPr>
          <w:rtl w:val="0"/>
        </w:rPr>
        <w:t xml:space="preserve">Active Oversight of Conflict Management:</w:t>
      </w:r>
    </w:p>
    <w:p w:rsidR="00000000" w:rsidDel="00000000" w:rsidP="00000000" w:rsidRDefault="00000000" w:rsidRPr="00000000" w14:paraId="000001A2">
      <w:pPr>
        <w:numPr>
          <w:ilvl w:val="1"/>
          <w:numId w:val="20"/>
        </w:numPr>
        <w:spacing w:after="0" w:afterAutospacing="0" w:before="0" w:beforeAutospacing="0"/>
        <w:ind w:left="2880" w:hanging="360"/>
        <w:rPr>
          <w:color w:val="000000"/>
        </w:rPr>
      </w:pPr>
      <w:r w:rsidDel="00000000" w:rsidR="00000000" w:rsidRPr="00000000">
        <w:rPr>
          <w:rtl w:val="0"/>
        </w:rPr>
        <w:t xml:space="preserve">Senior management must ensure appropriate governance structures are in place to monitor conflicts.</w:t>
      </w:r>
    </w:p>
    <w:p w:rsidR="00000000" w:rsidDel="00000000" w:rsidP="00000000" w:rsidRDefault="00000000" w:rsidRPr="00000000" w14:paraId="000001A3">
      <w:pPr>
        <w:numPr>
          <w:ilvl w:val="1"/>
          <w:numId w:val="20"/>
        </w:numPr>
        <w:spacing w:after="0" w:afterAutospacing="0" w:before="0" w:beforeAutospacing="0"/>
        <w:ind w:left="2880" w:hanging="360"/>
        <w:rPr>
          <w:color w:val="000000"/>
        </w:rPr>
      </w:pPr>
      <w:r w:rsidDel="00000000" w:rsidR="00000000" w:rsidRPr="00000000">
        <w:rPr>
          <w:rtl w:val="0"/>
        </w:rPr>
        <w:t xml:space="preserve">The Board must review reports on conflicts, escalations, and the effectiveness of control measures.</w:t>
      </w:r>
    </w:p>
    <w:p w:rsidR="00000000" w:rsidDel="00000000" w:rsidP="00000000" w:rsidRDefault="00000000" w:rsidRPr="00000000" w14:paraId="000001A4">
      <w:pPr>
        <w:numPr>
          <w:ilvl w:val="0"/>
          <w:numId w:val="20"/>
        </w:numPr>
        <w:spacing w:after="0" w:afterAutospacing="0" w:before="0" w:beforeAutospacing="0"/>
        <w:ind w:left="2160" w:hanging="360"/>
        <w:rPr>
          <w:color w:val="000000"/>
        </w:rPr>
      </w:pPr>
      <w:r w:rsidDel="00000000" w:rsidR="00000000" w:rsidRPr="00000000">
        <w:rPr>
          <w:rtl w:val="0"/>
        </w:rPr>
        <w:t xml:space="preserve">Ensuring Resource Allocation for Compliance:</w:t>
      </w:r>
    </w:p>
    <w:p w:rsidR="00000000" w:rsidDel="00000000" w:rsidP="00000000" w:rsidRDefault="00000000" w:rsidRPr="00000000" w14:paraId="000001A5">
      <w:pPr>
        <w:numPr>
          <w:ilvl w:val="1"/>
          <w:numId w:val="20"/>
        </w:numPr>
        <w:spacing w:after="0" w:afterAutospacing="0" w:before="0" w:beforeAutospacing="0"/>
        <w:ind w:left="2880" w:hanging="360"/>
        <w:rPr>
          <w:color w:val="000000"/>
        </w:rPr>
      </w:pPr>
      <w:r w:rsidDel="00000000" w:rsidR="00000000" w:rsidRPr="00000000">
        <w:rPr>
          <w:rtl w:val="0"/>
        </w:rPr>
        <w:t xml:space="preserve">The Firm must provide the compliance function with sufficient authority, independence, and resources to manage conflicts effectively.</w:t>
      </w:r>
    </w:p>
    <w:p w:rsidR="00000000" w:rsidDel="00000000" w:rsidP="00000000" w:rsidRDefault="00000000" w:rsidRPr="00000000" w14:paraId="000001A6">
      <w:pPr>
        <w:numPr>
          <w:ilvl w:val="0"/>
          <w:numId w:val="20"/>
        </w:numPr>
        <w:spacing w:after="0" w:afterAutospacing="0" w:before="0" w:beforeAutospacing="0"/>
        <w:ind w:left="2160" w:hanging="360"/>
        <w:rPr>
          <w:color w:val="000000"/>
        </w:rPr>
      </w:pPr>
      <w:r w:rsidDel="00000000" w:rsidR="00000000" w:rsidRPr="00000000">
        <w:rPr>
          <w:rtl w:val="0"/>
        </w:rPr>
        <w:t xml:space="preserve">Review of High-Risk or Material Conflicts:</w:t>
      </w:r>
    </w:p>
    <w:p w:rsidR="00000000" w:rsidDel="00000000" w:rsidP="00000000" w:rsidRDefault="00000000" w:rsidRPr="00000000" w14:paraId="000001A7">
      <w:pPr>
        <w:numPr>
          <w:ilvl w:val="1"/>
          <w:numId w:val="20"/>
        </w:numPr>
        <w:spacing w:after="0" w:afterAutospacing="0" w:before="0" w:beforeAutospacing="0"/>
        <w:ind w:left="2880" w:hanging="360"/>
        <w:rPr>
          <w:color w:val="000000"/>
        </w:rPr>
      </w:pPr>
      <w:r w:rsidDel="00000000" w:rsidR="00000000" w:rsidRPr="00000000">
        <w:rPr>
          <w:rtl w:val="0"/>
        </w:rPr>
        <w:t xml:space="preserve">Senior management must oversee mitigation strategies and escalation decisions when significant or high-risk conflicts arise.</w:t>
      </w:r>
    </w:p>
    <w:p w:rsidR="00000000" w:rsidDel="00000000" w:rsidP="00000000" w:rsidRDefault="00000000" w:rsidRPr="00000000" w14:paraId="000001A8">
      <w:pPr>
        <w:numPr>
          <w:ilvl w:val="1"/>
          <w:numId w:val="20"/>
        </w:numPr>
        <w:spacing w:before="0" w:beforeAutospacing="0"/>
        <w:ind w:left="2880" w:hanging="360"/>
        <w:rPr>
          <w:color w:val="000000"/>
        </w:rPr>
      </w:pPr>
      <w:r w:rsidDel="00000000" w:rsidR="00000000" w:rsidRPr="00000000">
        <w:rPr>
          <w:rtl w:val="0"/>
        </w:rPr>
        <w:t xml:space="preserve">Senior management must determine whether to discontinue the business activity if a conflict cannot be managed without harming client interests.</w:t>
      </w:r>
    </w:p>
    <w:p w:rsidR="00000000" w:rsidDel="00000000" w:rsidP="00000000" w:rsidRDefault="00000000" w:rsidRPr="00000000" w14:paraId="000001A9">
      <w:pPr>
        <w:ind w:left="1440" w:firstLine="0"/>
        <w:rPr/>
      </w:pPr>
      <w:r w:rsidDel="00000000" w:rsidR="00000000" w:rsidRPr="00000000">
        <w:rPr>
          <w:rtl w:val="0"/>
        </w:rPr>
        <w:t xml:space="preserve">Compliance Function Oversight:</w:t>
      </w:r>
    </w:p>
    <w:p w:rsidR="00000000" w:rsidDel="00000000" w:rsidP="00000000" w:rsidRDefault="00000000" w:rsidRPr="00000000" w14:paraId="000001AA">
      <w:pPr>
        <w:numPr>
          <w:ilvl w:val="0"/>
          <w:numId w:val="29"/>
        </w:numPr>
        <w:spacing w:after="0" w:afterAutospacing="0"/>
        <w:ind w:left="2160" w:hanging="360"/>
        <w:rPr>
          <w:color w:val="000000"/>
        </w:rPr>
      </w:pPr>
      <w:r w:rsidDel="00000000" w:rsidR="00000000" w:rsidRPr="00000000">
        <w:rPr>
          <w:rtl w:val="0"/>
        </w:rPr>
        <w:t xml:space="preserve">The Compliance Officer ensures that conflict management procedures are consistently followed.</w:t>
      </w:r>
    </w:p>
    <w:p w:rsidR="00000000" w:rsidDel="00000000" w:rsidP="00000000" w:rsidRDefault="00000000" w:rsidRPr="00000000" w14:paraId="000001AB">
      <w:pPr>
        <w:numPr>
          <w:ilvl w:val="0"/>
          <w:numId w:val="29"/>
        </w:numPr>
        <w:spacing w:before="0" w:beforeAutospacing="0"/>
        <w:ind w:left="2160" w:hanging="360"/>
        <w:rPr>
          <w:color w:val="000000"/>
        </w:rPr>
      </w:pPr>
      <w:r w:rsidDel="00000000" w:rsidR="00000000" w:rsidRPr="00000000">
        <w:rPr>
          <w:rtl w:val="0"/>
        </w:rPr>
        <w:t xml:space="preserve">Compliance must report findings, policy updates, and emerging risks to senior management at least quarterly.</w:t>
      </w:r>
    </w:p>
    <w:p w:rsidR="00000000" w:rsidDel="00000000" w:rsidP="00000000" w:rsidRDefault="00000000" w:rsidRPr="00000000" w14:paraId="000001AC">
      <w:pPr>
        <w:ind w:left="1440" w:firstLine="0"/>
        <w:rPr/>
      </w:pPr>
      <w:r w:rsidDel="00000000" w:rsidR="00000000" w:rsidRPr="00000000">
        <w:rPr>
          <w:rtl w:val="0"/>
        </w:rPr>
        <w:t xml:space="preserve">Regulatory Reporting and FCA Engagement:</w:t>
      </w:r>
    </w:p>
    <w:p w:rsidR="00000000" w:rsidDel="00000000" w:rsidP="00000000" w:rsidRDefault="00000000" w:rsidRPr="00000000" w14:paraId="000001AD">
      <w:pPr>
        <w:ind w:left="1440" w:firstLine="0"/>
        <w:rPr/>
      </w:pPr>
      <w:r w:rsidDel="00000000" w:rsidR="00000000" w:rsidRPr="00000000">
        <w:rPr>
          <w:rtl w:val="0"/>
        </w:rPr>
        <w:t xml:space="preserve">If a material conflict arises that the Firm is unable to mitigate effectively, the Compliance Officer and senior management must:</w:t>
      </w:r>
    </w:p>
    <w:p w:rsidR="00000000" w:rsidDel="00000000" w:rsidP="00000000" w:rsidRDefault="00000000" w:rsidRPr="00000000" w14:paraId="000001AE">
      <w:pPr>
        <w:numPr>
          <w:ilvl w:val="0"/>
          <w:numId w:val="38"/>
        </w:numPr>
        <w:spacing w:after="0" w:afterAutospacing="0"/>
        <w:ind w:left="2160" w:hanging="360"/>
        <w:rPr>
          <w:color w:val="000000"/>
        </w:rPr>
      </w:pPr>
      <w:r w:rsidDel="00000000" w:rsidR="00000000" w:rsidRPr="00000000">
        <w:rPr>
          <w:rtl w:val="0"/>
        </w:rPr>
        <w:t xml:space="preserve">Assess whether the FCA needs to be notified in accordance with regulatory obligations.</w:t>
      </w:r>
    </w:p>
    <w:p w:rsidR="00000000" w:rsidDel="00000000" w:rsidP="00000000" w:rsidRDefault="00000000" w:rsidRPr="00000000" w14:paraId="000001AF">
      <w:pPr>
        <w:numPr>
          <w:ilvl w:val="0"/>
          <w:numId w:val="38"/>
        </w:numPr>
        <w:spacing w:before="0" w:beforeAutospacing="0"/>
        <w:ind w:left="2160" w:hanging="360"/>
        <w:rPr>
          <w:color w:val="000000"/>
        </w:rPr>
      </w:pPr>
      <w:r w:rsidDel="00000000" w:rsidR="00000000" w:rsidRPr="00000000">
        <w:rPr>
          <w:rtl w:val="0"/>
        </w:rPr>
        <w:t xml:space="preserve">Ensure transparency in regulatory interactions, demonstrating that all reasonable steps have been taken to manage the conflict.</w:t>
      </w:r>
    </w:p>
    <w:p w:rsidR="00000000" w:rsidDel="00000000" w:rsidP="00000000" w:rsidRDefault="00000000" w:rsidRPr="00000000" w14:paraId="000001B0">
      <w:pPr>
        <w:ind w:left="1440" w:firstLine="0"/>
        <w:rPr/>
      </w:pPr>
      <w:r w:rsidDel="00000000" w:rsidR="00000000" w:rsidRPr="00000000">
        <w:rPr>
          <w:rtl w:val="0"/>
        </w:rPr>
        <w:t xml:space="preserve">The Firm reinforces its commitment to ethical business conduct, fair customer outcomes, and FCA compliance by ensuring robust senior management oversight and a structured review process.</w:t>
      </w:r>
    </w:p>
    <w:p w:rsidR="00000000" w:rsidDel="00000000" w:rsidP="00000000" w:rsidRDefault="00000000" w:rsidRPr="00000000" w14:paraId="000001B1">
      <w:pPr>
        <w:ind w:left="1440" w:firstLine="0"/>
        <w:rPr/>
      </w:pPr>
      <w:r w:rsidDel="00000000" w:rsidR="00000000" w:rsidRPr="00000000">
        <w:rPr>
          <w:rtl w:val="0"/>
        </w:rPr>
      </w:r>
    </w:p>
    <w:p w:rsidR="00000000" w:rsidDel="00000000" w:rsidP="00000000" w:rsidRDefault="00000000" w:rsidRPr="00000000" w14:paraId="000001B2">
      <w:pPr>
        <w:ind w:left="1440" w:firstLine="0"/>
        <w:rPr/>
      </w:pPr>
      <w:r w:rsidDel="00000000" w:rsidR="00000000" w:rsidRPr="00000000">
        <w:rPr>
          <w:rtl w:val="0"/>
        </w:rPr>
      </w:r>
    </w:p>
    <w:p w:rsidR="00000000" w:rsidDel="00000000" w:rsidP="00000000" w:rsidRDefault="00000000" w:rsidRPr="00000000" w14:paraId="000001B3">
      <w:pPr>
        <w:ind w:left="1440" w:firstLine="0"/>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END.</w:t>
      </w:r>
    </w:p>
    <w:p w:rsidR="00000000" w:rsidDel="00000000" w:rsidP="00000000" w:rsidRDefault="00000000" w:rsidRPr="00000000" w14:paraId="000001B4">
      <w:pPr>
        <w:rPr/>
      </w:pPr>
      <w:r w:rsidDel="00000000" w:rsidR="00000000" w:rsidRPr="00000000">
        <w:rPr>
          <w:rtl w:val="0"/>
        </w:rPr>
      </w:r>
    </w:p>
    <w:sectPr>
      <w:headerReference r:id="rId6" w:type="first"/>
      <w:footerReference r:id="rId7" w:type="first"/>
      <w:type w:val="nextPage"/>
      <w:pgSz w:h="16838" w:w="11906" w:orient="portrait"/>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 w:name="Arial Black">
    <w:embedRegular w:fontKey="{00000000-0000-0000-0000-000000000000}" r:id="rId7" w:subsetted="0"/>
  </w:font>
  <w:font w:name="Nunito Black">
    <w:embedBold w:fontKey="{00000000-0000-0000-0000-000000000000}" r:id="rId8" w:subsetted="0"/>
    <w:embedBoldItalic w:fontKey="{00000000-0000-0000-0000-000000000000}" r:id="rId9" w:subsetted="0"/>
  </w:font>
  <w:font w:name="Nunito Light">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rPr>
        <w:b w:val="1"/>
        <w:bCs w:val="1"/>
        <w:sz w:val="28"/>
        <w:szCs w:val="28"/>
      </w:rPr>
    </w:pPr>
    <w:r w:rsidDel="00000000" w:rsidR="00000000" w:rsidRPr="00000000">
      <w:rPr>
        <w:rtl w:val="0"/>
      </w:rPr>
    </w:r>
  </w:p>
  <w:p w:rsidR="00000000" w:rsidDel="00000000" w:rsidP="00000000" w:rsidRDefault="00000000" w:rsidRPr="00000000" w14:paraId="000001B6">
    <w:pPr>
      <w:spacing w:line="240" w:lineRule="auto"/>
      <w:rPr>
        <w:b w:val="1"/>
        <w:bCs w:val="1"/>
        <w:sz w:val="28"/>
        <w:szCs w:val="28"/>
      </w:rPr>
    </w:pPr>
    <w:r w:rsidDel="00000000" w:rsidR="00000000" w:rsidRPr="00000000">
      <w:rPr>
        <w:rtl w:val="0"/>
      </w:rPr>
    </w:r>
  </w:p>
  <w:p w:rsidR="00000000" w:rsidDel="00000000" w:rsidP="00000000" w:rsidRDefault="00000000" w:rsidRPr="00000000" w14:paraId="000001B7">
    <w:pPr>
      <w:spacing w:line="240" w:lineRule="auto"/>
      <w:rPr>
        <w:b w:val="1"/>
        <w:bCs w:val="1"/>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9878162</wp:posOffset>
              </wp:positionV>
              <wp:extent cx="1600200" cy="471735"/>
              <wp:effectExtent b="0" l="0" r="0" t="0"/>
              <wp:wrapNone/>
              <wp:docPr id="1" name=""/>
              <a:graphic>
                <a:graphicData uri="http://schemas.microsoft.com/office/word/2010/wordprocessingShape">
                  <wps:wsp>
                    <wps:cNvSpPr txBox="1"/>
                    <wps:cNvPr id="2" name="Shape 2"/>
                    <wps:spPr>
                      <a:xfrm>
                        <a:off x="1079850" y="802450"/>
                        <a:ext cx="1624800" cy="4656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Nunito" w:cs="Nunito" w:eastAsia="Nunito" w:hAnsi="Nunito"/>
                              <w:b w:val="1"/>
                              <w:i w:val="0"/>
                              <w:smallCaps w:val="0"/>
                              <w:strike w:val="0"/>
                              <w:color w:val="ffffff"/>
                              <w:sz w:val="20"/>
                              <w:vertAlign w:val="baseline"/>
                            </w:rPr>
                            <w:t xml:space="preserve">©RegTechPRO 2025</w:t>
                          </w:r>
                          <w:r w:rsidDel="00000000" w:rsidR="00000000" w:rsidRPr="00000000">
                            <w:rPr>
                              <w:rFonts w:ascii="Nunito Light" w:cs="Nunito Light" w:eastAsia="Nunito Light" w:hAnsi="Nunito Light"/>
                              <w:b w:val="0"/>
                              <w:i w:val="0"/>
                              <w:smallCaps w:val="0"/>
                              <w:strike w:val="0"/>
                              <w:color w:val="7c7c7e"/>
                              <w:sz w:val="20"/>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9878162</wp:posOffset>
              </wp:positionV>
              <wp:extent cx="1600200" cy="47173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00200" cy="47173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Light" w:cs="Nunito Light" w:eastAsia="Nunito Light" w:hAnsi="Nunito Light"/>
        <w:color w:val="0e0e0e"/>
        <w:lang w:val="en_GB"/>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1440" w:hanging="360"/>
    </w:pPr>
    <w:rPr>
      <w:rFonts w:ascii="Arial Black" w:cs="Arial Black" w:eastAsia="Arial Black" w:hAnsi="Arial Black"/>
      <w:b w:val="1"/>
      <w:bCs w:val="1"/>
      <w:color w:val="323232"/>
      <w:sz w:val="24"/>
      <w:szCs w:val="24"/>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220" w:before="0" w:lineRule="auto"/>
      <w:ind w:left="0" w:right="460" w:firstLine="0"/>
    </w:pPr>
    <w:rPr>
      <w:rFonts w:ascii="Nunito ExtraBold" w:cs="Nunito ExtraBold" w:eastAsia="Nunito ExtraBold" w:hAnsi="Nunito ExtraBold"/>
      <w:color w:val="323232"/>
    </w:rPr>
  </w:style>
  <w:style w:type="paragraph" w:styleId="Heading3">
    <w:name w:val="heading 3"/>
    <w:basedOn w:val="Normal"/>
    <w:next w:val="Normal"/>
    <w:pPr>
      <w:keepNext w:val="1"/>
      <w:keepLines w:val="1"/>
      <w:pBdr>
        <w:top w:color="auto" w:space="9" w:sz="0" w:val="none"/>
        <w:left w:color="auto" w:space="90" w:sz="0" w:val="none"/>
        <w:bottom w:color="auto" w:space="0" w:sz="0" w:val="none"/>
        <w:right w:color="auto" w:space="0" w:sz="0" w:val="none"/>
      </w:pBdr>
      <w:spacing w:after="100" w:before="0" w:lineRule="auto"/>
    </w:pPr>
    <w:rPr>
      <w:rFonts w:ascii="Nunito" w:cs="Nunito" w:eastAsia="Nunito" w:hAnsi="Nunito"/>
      <w:b w:val="1"/>
      <w:bCs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ind w:left="0" w:firstLine="0"/>
      <w:jc w:val="left"/>
    </w:pPr>
    <w:rPr>
      <w:b w:val="1"/>
      <w:bCs w:val="1"/>
      <w:color w:val="ffffff"/>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NunitoLight-bold.ttf"/><Relationship Id="rId10" Type="http://schemas.openxmlformats.org/officeDocument/2006/relationships/font" Target="fonts/NunitoLight-regular.ttf"/><Relationship Id="rId13" Type="http://schemas.openxmlformats.org/officeDocument/2006/relationships/font" Target="fonts/NunitoLight-boldItalic.ttf"/><Relationship Id="rId12" Type="http://schemas.openxmlformats.org/officeDocument/2006/relationships/font" Target="fonts/NunitoLight-italic.ttf"/><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9" Type="http://schemas.openxmlformats.org/officeDocument/2006/relationships/font" Target="fonts/NunitoBlack-boldItalic.ttf"/><Relationship Id="rId5" Type="http://schemas.openxmlformats.org/officeDocument/2006/relationships/font" Target="fonts/NunitoExtraBold-bold.ttf"/><Relationship Id="rId6" Type="http://schemas.openxmlformats.org/officeDocument/2006/relationships/font" Target="fonts/NunitoExtraBold-boldItalic.ttf"/><Relationship Id="rId7" Type="http://schemas.openxmlformats.org/officeDocument/2006/relationships/font" Target="fonts/ArialBlack-regular.ttf"/><Relationship Id="rId8" Type="http://schemas.openxmlformats.org/officeDocument/2006/relationships/font" Target="fonts/NunitoBlack-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