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ind w:left="-90" w:firstLine="0"/>
        <w:rPr>
          <w:rFonts w:ascii="Ubuntu" w:cs="Ubuntu" w:eastAsia="Ubuntu" w:hAnsi="Ubuntu"/>
          <w:b w:val="1"/>
          <w:color w:val="7665a0"/>
          <w:sz w:val="38"/>
          <w:szCs w:val="38"/>
        </w:rPr>
      </w:pPr>
      <w:bookmarkStart w:colFirst="0" w:colLast="0" w:name="_tb7imog643vq" w:id="0"/>
      <w:bookmarkEnd w:id="0"/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Unit 5 Chapter 1 Project Rubric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2115"/>
        <w:gridCol w:w="2205"/>
        <w:gridCol w:w="2040"/>
        <w:gridCol w:w="1800"/>
        <w:tblGridChange w:id="0">
          <w:tblGrid>
            <w:gridCol w:w="1620"/>
            <w:gridCol w:w="2115"/>
            <w:gridCol w:w="2205"/>
            <w:gridCol w:w="204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Modeling and Problem Solving with Data: Develop a data-based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description of the perfect day clearly relates to each piece of information encoded into the representation.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description of the perfect day relates to most pieces of information encoded.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description of the perfect day relates to at least one piece of information encoded.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There is no relationship between the description and encoded information.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Binary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numbers and characters in the representations have been encoded and decoded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Most of the numbers and characters in the representation have been encoded and decoded correctly, with some minor errors.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of the numbers and characters in the representation have been encoded and decoded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numbers and characters are not encoded or decoded correctly, or the representation is blank.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Data Encoding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representation consistently uses the numbers, characters, and images as agreed upon by the class.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representation generally uses the numbers, characters, and images as agreed upon by the class, but may have minor inconsistencies.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representation uses some of the numbers, characters and images as agreed on by the class.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representation does not follow the structure as agreed upon by the class.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Modeling and Problem Solving with Data: Drawing conclusions from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description of the classmate’s perfect day clearly relates to the information encoded into the representation.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description of the classmate’s perfect day relates to each piece of information encoded.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description of the classmate’s perfect day relates to at least one piece of information encoded.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There is no relationship between the description and the classmate’s encoded information.</w:t>
            </w:r>
          </w:p>
        </w:tc>
      </w:tr>
    </w:tbl>
    <w:p w:rsidR="00000000" w:rsidDel="00000000" w:rsidP="00000000" w:rsidRDefault="00000000" w:rsidRPr="00000000" w14:paraId="0000001E">
      <w:pPr>
        <w:pStyle w:val="Heading1"/>
        <w:pageBreakBefore w:val="0"/>
        <w:widowControl w:val="0"/>
        <w:spacing w:after="0" w:before="460" w:line="252.00000000000003" w:lineRule="auto"/>
        <w:rPr>
          <w:sz w:val="8"/>
          <w:szCs w:val="8"/>
        </w:rPr>
      </w:pPr>
      <w:bookmarkStart w:colFirst="0" w:colLast="0" w:name="_amd49ov83f6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