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0D6CF855" w:rsidR="007A66B6" w:rsidRPr="00EF08A3" w:rsidRDefault="007A66B6" w:rsidP="007A66B6">
      <w:pPr>
        <w:widowControl w:val="0"/>
        <w:spacing w:after="0" w:line="240" w:lineRule="auto"/>
        <w:rPr>
          <w:rFonts w:ascii="Palatino Linotype" w:hAnsi="Palatino Linotype" w:cs="Times New Roman"/>
          <w:bCs/>
          <w:sz w:val="18"/>
          <w:szCs w:val="18"/>
          <w:lang w:val="kk-KZ"/>
        </w:rPr>
      </w:pPr>
      <w:r w:rsidRPr="007A66B6">
        <w:rPr>
          <w:rFonts w:ascii="Palatino Linotype" w:hAnsi="Palatino Linotype" w:cs="Times New Roman"/>
          <w:sz w:val="18"/>
          <w:szCs w:val="18"/>
        </w:rPr>
        <w:t>IRSTI</w:t>
      </w:r>
      <w:r w:rsidRPr="007A66B6">
        <w:rPr>
          <w:rFonts w:ascii="Palatino Linotype" w:hAnsi="Palatino Linotype" w:cs="Times New Roman"/>
          <w:bCs/>
          <w:sz w:val="18"/>
          <w:szCs w:val="18"/>
        </w:rPr>
        <w:t xml:space="preserve"> </w:t>
      </w:r>
      <w:r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7FDEF8B8" w14:textId="6D22750C"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4F9824B9" w14:textId="77777777" w:rsidR="00EF08A3" w:rsidRDefault="00EF08A3" w:rsidP="00EF08A3">
      <w:pPr>
        <w:spacing w:after="0" w:line="240" w:lineRule="auto"/>
        <w:rPr>
          <w:sz w:val="18"/>
          <w:szCs w:val="18"/>
          <w:lang w:val="kk-KZ"/>
        </w:rPr>
      </w:pPr>
    </w:p>
    <w:p w14:paraId="1AC5B3A3" w14:textId="50D23715" w:rsidR="00EF08A3" w:rsidRPr="004F3D79" w:rsidRDefault="00557899" w:rsidP="00EF08A3">
      <w:pPr>
        <w:spacing w:after="0" w:line="240" w:lineRule="auto"/>
        <w:rPr>
          <w:rFonts w:ascii="Palatino Linotype" w:hAnsi="Palatino Linotype" w:cs="Times New Roman"/>
          <w:b/>
          <w:sz w:val="20"/>
          <w:szCs w:val="20"/>
          <w:vertAlign w:val="superscript"/>
        </w:rPr>
      </w:pP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shd w:val="clear" w:color="auto" w:fill="auto"/>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shd w:val="clear" w:color="auto" w:fill="auto"/>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shd w:val="clear" w:color="auto" w:fill="auto"/>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81AF5">
        <w:tc>
          <w:tcPr>
            <w:tcW w:w="2330" w:type="dxa"/>
            <w:tcBorders>
              <w:left w:val="nil"/>
              <w:bottom w:val="nil"/>
              <w:right w:val="nil"/>
            </w:tcBorders>
            <w:shd w:val="clear" w:color="auto" w:fill="auto"/>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nil"/>
              <w:right w:val="nil"/>
            </w:tcBorders>
            <w:shd w:val="clear" w:color="auto" w:fill="auto"/>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nil"/>
              <w:right w:val="nil"/>
            </w:tcBorders>
            <w:shd w:val="clear" w:color="auto" w:fill="auto"/>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81AF5">
        <w:tc>
          <w:tcPr>
            <w:tcW w:w="2330" w:type="dxa"/>
            <w:tcBorders>
              <w:top w:val="double" w:sz="4" w:space="0" w:color="auto"/>
              <w:left w:val="nil"/>
              <w:bottom w:val="single" w:sz="4" w:space="0" w:color="auto"/>
              <w:right w:val="nil"/>
            </w:tcBorders>
            <w:shd w:val="clear" w:color="auto" w:fill="auto"/>
          </w:tcPr>
          <w:p w14:paraId="78F2EE25" w14:textId="67E83A66" w:rsidR="00D81AF5" w:rsidRPr="00232383" w:rsidRDefault="00D81AF5" w:rsidP="00D81AF5">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shd w:val="clear" w:color="auto" w:fill="auto"/>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shd w:val="clear" w:color="auto" w:fill="auto"/>
          </w:tcPr>
          <w:p w14:paraId="13EB6935" w14:textId="77777777" w:rsidR="00D81AF5" w:rsidRPr="0058511D" w:rsidRDefault="00D81AF5" w:rsidP="00D81AF5">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D81AF5" w:rsidRPr="00311F95" w14:paraId="71B51E57" w14:textId="77777777" w:rsidTr="00D81AF5">
        <w:tc>
          <w:tcPr>
            <w:tcW w:w="2330" w:type="dxa"/>
            <w:tcBorders>
              <w:left w:val="nil"/>
              <w:bottom w:val="nil"/>
              <w:right w:val="nil"/>
            </w:tcBorders>
            <w:shd w:val="clear" w:color="auto" w:fill="auto"/>
          </w:tcPr>
          <w:p w14:paraId="2A4483B9" w14:textId="73105F07"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shd w:val="clear" w:color="auto" w:fill="auto"/>
          </w:tcPr>
          <w:p w14:paraId="217E2747" w14:textId="77777777" w:rsidR="00D81AF5" w:rsidRPr="0058511D" w:rsidRDefault="00D81AF5" w:rsidP="00D81AF5">
            <w:pPr>
              <w:rPr>
                <w:rFonts w:ascii="Palatino Linotype" w:hAnsi="Palatino Linotype"/>
                <w:sz w:val="18"/>
                <w:szCs w:val="18"/>
                <w:lang w:val="kk-KZ"/>
              </w:rPr>
            </w:pPr>
          </w:p>
        </w:tc>
        <w:tc>
          <w:tcPr>
            <w:tcW w:w="5764" w:type="dxa"/>
            <w:tcBorders>
              <w:left w:val="nil"/>
              <w:bottom w:val="nil"/>
              <w:right w:val="nil"/>
            </w:tcBorders>
            <w:shd w:val="clear" w:color="auto" w:fill="auto"/>
          </w:tcPr>
          <w:p w14:paraId="7FB584D0" w14:textId="77777777" w:rsidR="00D81AF5" w:rsidRPr="0058511D" w:rsidRDefault="00D81AF5" w:rsidP="00D81AF5">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D81AF5" w:rsidRPr="004F3D79" w14:paraId="7FD18797" w14:textId="77777777" w:rsidTr="00D81AF5">
        <w:tc>
          <w:tcPr>
            <w:tcW w:w="2330" w:type="dxa"/>
            <w:tcBorders>
              <w:top w:val="double" w:sz="4" w:space="0" w:color="auto"/>
              <w:left w:val="nil"/>
              <w:bottom w:val="single" w:sz="4" w:space="0" w:color="auto"/>
              <w:right w:val="nil"/>
            </w:tcBorders>
            <w:shd w:val="clear" w:color="auto" w:fill="auto"/>
          </w:tcPr>
          <w:p w14:paraId="4C59D655" w14:textId="36F04695" w:rsidR="00D81AF5" w:rsidRPr="00D06873" w:rsidRDefault="00D81AF5" w:rsidP="00D81AF5">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shd w:val="clear" w:color="auto" w:fill="auto"/>
          </w:tcPr>
          <w:p w14:paraId="2D8055EB"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shd w:val="clear" w:color="auto" w:fill="auto"/>
          </w:tcPr>
          <w:p w14:paraId="2F6CE673" w14:textId="72A60188" w:rsidR="00D81AF5" w:rsidRPr="0058511D" w:rsidRDefault="00D81AF5" w:rsidP="00D81AF5">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lang w:val="ru-RU"/>
              </w:rPr>
              <w:t>АННОТАЦИЯ</w:t>
            </w:r>
          </w:p>
        </w:tc>
      </w:tr>
      <w:tr w:rsidR="00D81AF5" w:rsidRPr="00311F95" w14:paraId="19CE4F19" w14:textId="77777777" w:rsidTr="00D81AF5">
        <w:trPr>
          <w:trHeight w:val="2457"/>
        </w:trPr>
        <w:tc>
          <w:tcPr>
            <w:tcW w:w="2330" w:type="dxa"/>
            <w:tcBorders>
              <w:left w:val="nil"/>
              <w:bottom w:val="double" w:sz="4" w:space="0" w:color="auto"/>
              <w:right w:val="nil"/>
            </w:tcBorders>
            <w:shd w:val="clear" w:color="auto" w:fill="auto"/>
          </w:tcPr>
          <w:p w14:paraId="72552B75" w14:textId="77777777" w:rsidR="00D81AF5" w:rsidRPr="0058511D" w:rsidRDefault="00D81AF5" w:rsidP="00D81AF5">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1501A8E9" w14:textId="487116D9"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ru-RU"/>
              </w:rPr>
              <w:t>ключевое слово 8.</w:t>
            </w:r>
          </w:p>
        </w:tc>
        <w:tc>
          <w:tcPr>
            <w:tcW w:w="410" w:type="dxa"/>
            <w:tcBorders>
              <w:top w:val="nil"/>
              <w:left w:val="nil"/>
              <w:bottom w:val="double" w:sz="4" w:space="0" w:color="auto"/>
              <w:right w:val="nil"/>
            </w:tcBorders>
            <w:shd w:val="clear" w:color="auto" w:fill="auto"/>
          </w:tcPr>
          <w:p w14:paraId="7BB9BA1F"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shd w:val="clear" w:color="auto" w:fill="auto"/>
          </w:tcPr>
          <w:p w14:paraId="3C6E7694" w14:textId="77777777" w:rsidR="00D81AF5" w:rsidRPr="00F920EF" w:rsidRDefault="00D81AF5" w:rsidP="00D81AF5">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4C7CF0C" w14:textId="77777777" w:rsidR="00D81AF5" w:rsidRPr="00F920EF" w:rsidRDefault="00D81AF5" w:rsidP="00D81AF5">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1F264268" w14:textId="305F03E9" w:rsidR="00D81AF5" w:rsidRPr="0058511D" w:rsidRDefault="00D81AF5" w:rsidP="00D81AF5">
            <w:pPr>
              <w:ind w:left="-113" w:right="-113"/>
              <w:jc w:val="both"/>
              <w:rPr>
                <w:rFonts w:ascii="Palatino Linotype" w:hAnsi="Palatino Linotype"/>
                <w:sz w:val="18"/>
                <w:szCs w:val="18"/>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present the main findings obtained in the course of the study. The data 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77777777" w:rsidR="00C72046" w:rsidRPr="00C72046" w:rsidRDefault="00C72046" w:rsidP="00C72046">
      <w:pPr>
        <w:pStyle w:val="ListParagraph"/>
        <w:widowControl w:val="0"/>
        <w:spacing w:after="0" w:line="240" w:lineRule="auto"/>
        <w:ind w:left="0"/>
        <w:jc w:val="center"/>
        <w:rPr>
          <w:rFonts w:ascii="Palatino Linotype" w:hAnsi="Palatino Linotype" w:cs="Times New Roman"/>
          <w:sz w:val="20"/>
          <w:szCs w:val="20"/>
          <w:lang w:val="ru-RU"/>
        </w:rPr>
      </w:pPr>
      <w:r w:rsidRPr="00C72046">
        <w:rPr>
          <w:rFonts w:ascii="Palatino Linotype" w:hAnsi="Palatino Linotype" w:cs="Times New Roman"/>
          <w:noProof/>
          <w:sz w:val="20"/>
          <w:szCs w:val="20"/>
          <w:lang w:val="ru-RU" w:eastAsia="ru-RU"/>
        </w:rPr>
        <w:drawing>
          <wp:inline distT="0" distB="0" distL="0" distR="0" wp14:anchorId="7C531F78" wp14:editId="1BEB4AA3">
            <wp:extent cx="4572000" cy="2003729"/>
            <wp:effectExtent l="0" t="0" r="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63FBAE" w14:textId="77777777" w:rsidR="00C72046" w:rsidRPr="00C72046" w:rsidRDefault="00C72046" w:rsidP="00C72046">
      <w:pPr>
        <w:widowControl w:val="0"/>
        <w:spacing w:after="0" w:line="240" w:lineRule="auto"/>
        <w:jc w:val="center"/>
        <w:rPr>
          <w:rFonts w:ascii="Palatino Linotype" w:hAnsi="Palatino Linotype" w:cs="Times New Roman"/>
          <w:b/>
          <w:sz w:val="20"/>
          <w:szCs w:val="20"/>
        </w:rPr>
      </w:pPr>
    </w:p>
    <w:p w14:paraId="7E9FB241" w14:textId="77777777" w:rsidR="00557899" w:rsidRPr="00557899"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Pr="00557899">
        <w:rPr>
          <w:rFonts w:ascii="Palatino Linotype" w:hAnsi="Palatino Linotype" w:cs="Times New Roman"/>
          <w:b/>
          <w:sz w:val="20"/>
          <w:szCs w:val="20"/>
        </w:rPr>
        <w:t xml:space="preserve"> </w:t>
      </w:r>
      <w:r w:rsidRPr="00557899">
        <w:rPr>
          <w:rFonts w:ascii="Palatino Linotype" w:hAnsi="Palatino Linotype" w:cs="Times New Roman"/>
          <w:bCs/>
          <w:sz w:val="20"/>
          <w:szCs w:val="20"/>
        </w:rPr>
        <w:t>R&amp;D expenditure as a percentage of GDP: comparison of Kazakhstan with other benchmarks in 2024</w:t>
      </w:r>
    </w:p>
    <w:p w14:paraId="0ABA15B3" w14:textId="46246E13"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 based on (World Bank, 2024; WIPO, 2024)</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The discussion of results should include a comparison with data presented in other studies, 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266335B5" w:rsidR="00C72046" w:rsidRDefault="005B52FE" w:rsidP="00C72046">
      <w:pPr>
        <w:pStyle w:val="ListParagraph"/>
        <w:widowControl w:val="0"/>
        <w:spacing w:after="0" w:line="240" w:lineRule="auto"/>
        <w:ind w:left="0" w:firstLine="567"/>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402903" w:rsidRPr="00402903">
        <w:rPr>
          <w:rFonts w:ascii="Palatino Linotype" w:hAnsi="Palatino Linotype" w:cs="Times New Roman"/>
          <w:bCs/>
          <w:sz w:val="20"/>
          <w:szCs w:val="20"/>
          <w:lang w:val="ru-RU"/>
        </w:rPr>
        <w:t>Technical specifications of the investigated equipment</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3B62893F" w:rsidR="00C72046" w:rsidRPr="00C72046" w:rsidRDefault="00402903" w:rsidP="00C72046">
            <w:pPr>
              <w:pStyle w:val="ListParagraph"/>
              <w:widowControl w:val="0"/>
              <w:ind w:left="-57" w:right="-57" w:firstLine="34"/>
              <w:jc w:val="center"/>
              <w:rPr>
                <w:rFonts w:ascii="Palatino Linotype" w:hAnsi="Palatino Linotype" w:cs="Times New Roman"/>
                <w:sz w:val="20"/>
                <w:szCs w:val="20"/>
                <w:lang w:val="ru-RU"/>
              </w:rPr>
            </w:pPr>
            <w:r w:rsidRPr="00402903">
              <w:rPr>
                <w:rFonts w:ascii="Palatino Linotype" w:hAnsi="Palatino Linotype" w:cs="Times New Roman"/>
                <w:sz w:val="20"/>
                <w:szCs w:val="20"/>
                <w:lang w:val="ru-RU"/>
              </w:rPr>
              <w:t>Parameter</w:t>
            </w:r>
          </w:p>
        </w:tc>
        <w:tc>
          <w:tcPr>
            <w:tcW w:w="2268" w:type="dxa"/>
          </w:tcPr>
          <w:p w14:paraId="0E0692F8" w14:textId="367D7D89" w:rsidR="00C72046" w:rsidRPr="00C72046" w:rsidRDefault="00402903"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Value</w:t>
            </w:r>
          </w:p>
        </w:tc>
        <w:tc>
          <w:tcPr>
            <w:tcW w:w="3118" w:type="dxa"/>
          </w:tcPr>
          <w:p w14:paraId="2D40DF67" w14:textId="63C3F0A7" w:rsidR="00C72046" w:rsidRPr="00C72046" w:rsidRDefault="00402903" w:rsidP="00C72046">
            <w:pPr>
              <w:pStyle w:val="ListParagraph"/>
              <w:widowControl w:val="0"/>
              <w:ind w:left="-57" w:right="-57"/>
              <w:jc w:val="center"/>
              <w:rPr>
                <w:rFonts w:ascii="Palatino Linotype" w:hAnsi="Palatino Linotype" w:cs="Times New Roman"/>
                <w:sz w:val="20"/>
                <w:szCs w:val="20"/>
                <w:lang w:val="ru-RU"/>
              </w:rPr>
            </w:pPr>
            <w:r w:rsidRPr="00402903">
              <w:rPr>
                <w:rFonts w:ascii="Palatino Linotype" w:hAnsi="Palatino Linotype" w:cs="Times New Roman"/>
                <w:sz w:val="20"/>
                <w:szCs w:val="20"/>
                <w:lang w:val="ru-RU"/>
              </w:rPr>
              <w:t>Unit of measurement</w:t>
            </w:r>
          </w:p>
        </w:tc>
      </w:tr>
      <w:tr w:rsidR="00C72046" w:rsidRPr="00C72046" w14:paraId="1035F23E" w14:textId="77777777" w:rsidTr="00C72046">
        <w:tc>
          <w:tcPr>
            <w:tcW w:w="3114" w:type="dxa"/>
          </w:tcPr>
          <w:p w14:paraId="74B4126C" w14:textId="7BFF7C38" w:rsidR="00C72046" w:rsidRPr="00C72046" w:rsidRDefault="000C02D5" w:rsidP="00C72046">
            <w:pPr>
              <w:pStyle w:val="ListParagraph"/>
              <w:widowControl w:val="0"/>
              <w:ind w:left="-57" w:right="-57" w:firstLine="34"/>
              <w:jc w:val="both"/>
              <w:rPr>
                <w:rFonts w:ascii="Palatino Linotype" w:hAnsi="Palatino Linotype" w:cs="Times New Roman"/>
                <w:sz w:val="20"/>
                <w:szCs w:val="20"/>
                <w:lang w:val="ru-RU"/>
              </w:rPr>
            </w:pPr>
            <w:r w:rsidRPr="000C02D5">
              <w:rPr>
                <w:rFonts w:ascii="Palatino Linotype" w:hAnsi="Palatino Linotype" w:cs="Times New Roman"/>
                <w:sz w:val="20"/>
                <w:szCs w:val="20"/>
                <w:lang w:val="ru-RU"/>
              </w:rPr>
              <w:t>Motor power</w:t>
            </w:r>
          </w:p>
        </w:tc>
        <w:tc>
          <w:tcPr>
            <w:tcW w:w="2268" w:type="dxa"/>
          </w:tcPr>
          <w:p w14:paraId="3B33AB5A" w14:textId="34855791" w:rsidR="00C72046" w:rsidRPr="00C72046" w:rsidRDefault="000C02D5" w:rsidP="000C02D5">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3.5</w:t>
            </w:r>
          </w:p>
        </w:tc>
        <w:tc>
          <w:tcPr>
            <w:tcW w:w="3118" w:type="dxa"/>
          </w:tcPr>
          <w:p w14:paraId="484167BF" w14:textId="20B9E23F" w:rsidR="00C72046" w:rsidRPr="00C72046" w:rsidRDefault="000C02D5" w:rsidP="000C02D5">
            <w:pPr>
              <w:pStyle w:val="ListParagraph"/>
              <w:widowControl w:val="0"/>
              <w:ind w:left="-57" w:right="-57"/>
              <w:jc w:val="center"/>
              <w:rPr>
                <w:rFonts w:ascii="Palatino Linotype" w:hAnsi="Palatino Linotype" w:cs="Times New Roman"/>
                <w:sz w:val="20"/>
                <w:szCs w:val="20"/>
                <w:lang w:val="ru-RU"/>
              </w:rPr>
            </w:pPr>
            <w:r w:rsidRPr="000C02D5">
              <w:rPr>
                <w:rFonts w:ascii="Palatino Linotype" w:hAnsi="Palatino Linotype" w:cs="Times New Roman"/>
                <w:sz w:val="20"/>
                <w:szCs w:val="20"/>
                <w:lang w:val="ru-RU"/>
              </w:rPr>
              <w:t>kW</w:t>
            </w:r>
          </w:p>
        </w:tc>
      </w:tr>
      <w:tr w:rsidR="00C72046" w:rsidRPr="00C72046" w14:paraId="76E45583" w14:textId="77777777" w:rsidTr="00C72046">
        <w:tc>
          <w:tcPr>
            <w:tcW w:w="31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5"/>
            </w:tblGrid>
            <w:tr w:rsidR="000C02D5" w:rsidRPr="000C02D5" w14:paraId="563A7D87" w14:textId="77777777" w:rsidTr="000C02D5">
              <w:trPr>
                <w:tblCellSpacing w:w="15" w:type="dxa"/>
              </w:trPr>
              <w:tc>
                <w:tcPr>
                  <w:tcW w:w="0" w:type="auto"/>
                  <w:vAlign w:val="center"/>
                  <w:hideMark/>
                </w:tcPr>
                <w:p w14:paraId="0FFC1EE9" w14:textId="77777777" w:rsidR="000C02D5" w:rsidRPr="000C02D5" w:rsidRDefault="000C02D5" w:rsidP="000C02D5">
                  <w:pPr>
                    <w:pStyle w:val="ListParagraph"/>
                    <w:widowControl w:val="0"/>
                    <w:ind w:left="-57" w:right="-57" w:firstLine="34"/>
                    <w:jc w:val="both"/>
                    <w:rPr>
                      <w:rFonts w:ascii="Palatino Linotype" w:hAnsi="Palatino Linotype" w:cs="Times New Roman"/>
                      <w:sz w:val="20"/>
                      <w:szCs w:val="20"/>
                      <w:lang w:val="ru-KZ"/>
                    </w:rPr>
                  </w:pPr>
                  <w:r w:rsidRPr="000C02D5">
                    <w:rPr>
                      <w:rFonts w:ascii="Palatino Linotype" w:hAnsi="Palatino Linotype" w:cs="Times New Roman"/>
                      <w:sz w:val="20"/>
                      <w:szCs w:val="20"/>
                      <w:lang w:val="ru-KZ"/>
                    </w:rPr>
                    <w:t>Spindle rotation speed</w:t>
                  </w:r>
                </w:p>
              </w:tc>
            </w:tr>
          </w:tbl>
          <w:p w14:paraId="1CEE7651" w14:textId="77777777" w:rsidR="000C02D5" w:rsidRPr="000C02D5" w:rsidRDefault="000C02D5" w:rsidP="000C02D5">
            <w:pPr>
              <w:pStyle w:val="ListParagraph"/>
              <w:widowControl w:val="0"/>
              <w:ind w:left="-57" w:right="-57" w:firstLine="34"/>
              <w:jc w:val="both"/>
              <w:rPr>
                <w:rFonts w:ascii="Palatino Linotype" w:hAnsi="Palatino Linotype" w:cs="Times New Roman"/>
                <w:vanish/>
                <w:sz w:val="20"/>
                <w:szCs w:val="20"/>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C02D5" w:rsidRPr="000C02D5" w14:paraId="73DB765C" w14:textId="77777777" w:rsidTr="000C02D5">
              <w:trPr>
                <w:tblCellSpacing w:w="15" w:type="dxa"/>
              </w:trPr>
              <w:tc>
                <w:tcPr>
                  <w:tcW w:w="0" w:type="auto"/>
                  <w:vAlign w:val="center"/>
                  <w:hideMark/>
                </w:tcPr>
                <w:p w14:paraId="033DC5D7" w14:textId="77777777" w:rsidR="000C02D5" w:rsidRPr="000C02D5" w:rsidRDefault="000C02D5" w:rsidP="000C02D5">
                  <w:pPr>
                    <w:pStyle w:val="ListParagraph"/>
                    <w:widowControl w:val="0"/>
                    <w:ind w:left="-57" w:right="-57" w:firstLine="34"/>
                    <w:jc w:val="both"/>
                    <w:rPr>
                      <w:rFonts w:ascii="Palatino Linotype" w:hAnsi="Palatino Linotype" w:cs="Times New Roman"/>
                      <w:sz w:val="20"/>
                      <w:szCs w:val="20"/>
                      <w:lang w:val="ru-KZ"/>
                    </w:rPr>
                  </w:pPr>
                </w:p>
              </w:tc>
            </w:tr>
          </w:tbl>
          <w:p w14:paraId="009ADE90" w14:textId="10FE89E0" w:rsidR="00C72046" w:rsidRPr="000C02D5" w:rsidRDefault="00C72046" w:rsidP="00C72046">
            <w:pPr>
              <w:pStyle w:val="ListParagraph"/>
              <w:widowControl w:val="0"/>
              <w:ind w:left="-57" w:right="-57" w:firstLine="34"/>
              <w:jc w:val="both"/>
              <w:rPr>
                <w:rFonts w:ascii="Palatino Linotype" w:hAnsi="Palatino Linotype" w:cs="Times New Roman"/>
                <w:sz w:val="20"/>
                <w:szCs w:val="20"/>
              </w:rPr>
            </w:pPr>
          </w:p>
        </w:tc>
        <w:tc>
          <w:tcPr>
            <w:tcW w:w="2268" w:type="dxa"/>
          </w:tcPr>
          <w:p w14:paraId="5058E9F7" w14:textId="524E14F7" w:rsidR="00C72046" w:rsidRPr="00C72046" w:rsidRDefault="000C02D5" w:rsidP="000C02D5">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1500</w:t>
            </w:r>
          </w:p>
        </w:tc>
        <w:tc>
          <w:tcPr>
            <w:tcW w:w="3118" w:type="dxa"/>
          </w:tcPr>
          <w:p w14:paraId="7E1496A6" w14:textId="0A9B15C5" w:rsidR="00C72046" w:rsidRPr="00C72046" w:rsidRDefault="000C02D5" w:rsidP="000C02D5">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rpm</w:t>
            </w:r>
          </w:p>
        </w:tc>
      </w:tr>
      <w:tr w:rsidR="00C72046" w:rsidRPr="00C72046" w14:paraId="2A398AA5" w14:textId="77777777" w:rsidTr="00C72046">
        <w:tc>
          <w:tcPr>
            <w:tcW w:w="3114" w:type="dxa"/>
          </w:tcPr>
          <w:p w14:paraId="30B1827E" w14:textId="57B29EB5" w:rsidR="00C72046" w:rsidRPr="00C72046" w:rsidRDefault="000C02D5" w:rsidP="00C72046">
            <w:pPr>
              <w:pStyle w:val="ListParagraph"/>
              <w:widowControl w:val="0"/>
              <w:ind w:left="-57" w:right="-57" w:firstLine="34"/>
              <w:jc w:val="both"/>
              <w:rPr>
                <w:rFonts w:ascii="Palatino Linotype" w:hAnsi="Palatino Linotype" w:cs="Times New Roman"/>
                <w:sz w:val="20"/>
                <w:szCs w:val="20"/>
                <w:lang w:val="ru-RU"/>
              </w:rPr>
            </w:pPr>
            <w:r w:rsidRPr="000C02D5">
              <w:rPr>
                <w:rFonts w:ascii="Palatino Linotype" w:hAnsi="Palatino Linotype" w:cs="Times New Roman"/>
                <w:sz w:val="20"/>
                <w:szCs w:val="20"/>
                <w:lang w:val="ru-RU"/>
              </w:rPr>
              <w:t>Maximum machining diameter</w:t>
            </w:r>
          </w:p>
        </w:tc>
        <w:tc>
          <w:tcPr>
            <w:tcW w:w="2268" w:type="dxa"/>
          </w:tcPr>
          <w:p w14:paraId="24E7F803" w14:textId="225ECF03" w:rsidR="00C72046" w:rsidRPr="00C72046" w:rsidRDefault="000C02D5" w:rsidP="000C02D5">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250</w:t>
            </w:r>
          </w:p>
        </w:tc>
        <w:tc>
          <w:tcPr>
            <w:tcW w:w="3118" w:type="dxa"/>
          </w:tcPr>
          <w:p w14:paraId="72225591" w14:textId="48BCDEA9" w:rsidR="00C72046" w:rsidRPr="00C72046" w:rsidRDefault="000C02D5" w:rsidP="000C02D5">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mm</w:t>
            </w:r>
          </w:p>
        </w:tc>
      </w:tr>
      <w:tr w:rsidR="00C72046" w:rsidRPr="00C72046" w14:paraId="2B06B9E9" w14:textId="77777777" w:rsidTr="00C72046">
        <w:tc>
          <w:tcPr>
            <w:tcW w:w="8500" w:type="dxa"/>
            <w:gridSpan w:val="3"/>
          </w:tcPr>
          <w:p w14:paraId="7ABC75F9" w14:textId="16DFDD10"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 based on data from Kulenova (2021)</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CONCLUSION</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Pr="00044E51"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6B1F9D71"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CONFLICT OF INTEREST:</w:t>
      </w:r>
      <w:r w:rsidRPr="00044E51">
        <w:rPr>
          <w:rFonts w:ascii="Palatino Linotype" w:hAnsi="Palatino Linotype" w:cs="Times New Roman"/>
          <w:bCs/>
          <w:sz w:val="20"/>
          <w:szCs w:val="20"/>
          <w:lang w:val="ru-KZ"/>
        </w:rPr>
        <w:t xml:space="preserve"> The authors declare no conflict of interest.</w:t>
      </w:r>
    </w:p>
    <w:p w14:paraId="36E7EA05" w14:textId="6FA3F6BD"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FUNDING:</w:t>
      </w:r>
      <w:r w:rsidRPr="00044E51">
        <w:rPr>
          <w:rFonts w:ascii="Palatino Linotype" w:hAnsi="Palatino Linotype" w:cs="Times New Roman"/>
          <w:bCs/>
          <w:sz w:val="20"/>
          <w:szCs w:val="20"/>
          <w:lang w:val="ru-KZ"/>
        </w:rPr>
        <w:t xml:space="preserve"> This section indicates the source of funding received during the research. For example:</w:t>
      </w:r>
      <w:r>
        <w:rPr>
          <w:rFonts w:ascii="Palatino Linotype" w:hAnsi="Palatino Linotype" w:cs="Times New Roman"/>
          <w:bCs/>
          <w:sz w:val="20"/>
          <w:szCs w:val="20"/>
          <w:lang w:val="ru-KZ"/>
        </w:rPr>
        <w:t xml:space="preserve"> </w:t>
      </w:r>
      <w:r w:rsidRPr="00044E51">
        <w:rPr>
          <w:rFonts w:ascii="Palatino Linotype" w:hAnsi="Palatino Linotype" w:cs="Times New Roman"/>
          <w:b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7A097FEE" w14:textId="588ECD4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lastRenderedPageBreak/>
        <w:t>ACKNOWLEDGEMENTS:</w:t>
      </w:r>
      <w:r w:rsidRPr="00044E51">
        <w:rPr>
          <w:rFonts w:ascii="Palatino Linotype" w:hAnsi="Palatino Linotype" w:cs="Times New Roman"/>
          <w:bCs/>
          <w:sz w:val="20"/>
          <w:szCs w:val="20"/>
          <w:lang w:val="ru-KZ"/>
        </w:rPr>
        <w:t xml:space="preserve"> This section expresses gratitude to individuals and organizations that contributed to the research. For example:</w:t>
      </w:r>
      <w:r w:rsidRPr="00044E51">
        <w:rPr>
          <w:rFonts w:ascii="Palatino Linotype" w:hAnsi="Palatino Linotype" w:cs="Times New Roman"/>
          <w:bCs/>
          <w:i/>
          <w:iCs/>
          <w:sz w:val="20"/>
          <w:szCs w:val="20"/>
          <w:lang w:val="ru-KZ"/>
        </w:rPr>
        <w:t xml:space="preserve"> </w:t>
      </w:r>
      <w:r w:rsidRPr="00044E51">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97DBD8D" w14:textId="5801216B"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STATEMENT ON THE USE OF ARTIFICIAL INTELLIGENCE TECHNOLOGIES:</w:t>
      </w:r>
      <w:r w:rsidRPr="00044E51">
        <w:rPr>
          <w:rFonts w:ascii="Palatino Linotype" w:hAnsi="Palatino Linotype" w:cs="Times New Roman"/>
          <w:bCs/>
          <w:sz w:val="20"/>
          <w:szCs w:val="20"/>
          <w:lang w:val="ru-KZ"/>
        </w:rPr>
        <w:t xml:space="preserve"> </w:t>
      </w:r>
      <w:r w:rsidRPr="00044E51">
        <w:rPr>
          <w:rFonts w:ascii="Palatino Linotype" w:hAnsi="Palatino Linotype" w:cs="Times New Roman"/>
          <w:bCs/>
          <w:sz w:val="20"/>
          <w:szCs w:val="20"/>
          <w:lang w:val="ru-KZ"/>
        </w:rPr>
        <w:t>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47DDC03C" w14:textId="4B3E5D1E"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sz w:val="20"/>
          <w:szCs w:val="20"/>
          <w:lang w:val="ru-KZ"/>
        </w:rPr>
      </w:pPr>
      <w:r w:rsidRPr="00044E51">
        <w:rPr>
          <w:rFonts w:ascii="Palatino Linotype" w:hAnsi="Palatino Linotype" w:cs="Times New Roman"/>
          <w:bCs/>
          <w:sz w:val="20"/>
          <w:szCs w:val="20"/>
          <w:lang w:val="ru-KZ"/>
        </w:rPr>
        <w:t>The AI model used must be cited in the reference list (</w:t>
      </w:r>
      <w:r w:rsidRPr="00044E51">
        <w:rPr>
          <w:rFonts w:ascii="Palatino Linotype" w:hAnsi="Palatino Linotype" w:cs="Times New Roman"/>
          <w:bCs/>
          <w:i/>
          <w:iCs/>
          <w:sz w:val="20"/>
          <w:szCs w:val="20"/>
          <w:lang w:val="ru-KZ"/>
        </w:rPr>
        <w:t>References</w:t>
      </w:r>
      <w:r w:rsidRPr="00044E51">
        <w:rPr>
          <w:rFonts w:ascii="Palatino Linotype" w:hAnsi="Palatino Linotype" w:cs="Times New Roman"/>
          <w:bCs/>
          <w:sz w:val="20"/>
          <w:szCs w:val="20"/>
          <w:lang w:val="ru-KZ"/>
        </w:rPr>
        <w:t>) in the following format:</w:t>
      </w:r>
      <w:r w:rsidRPr="00044E51">
        <w:rPr>
          <w:rFonts w:ascii="Palatino Linotype" w:hAnsi="Palatino Linotype" w:cs="Times New Roman"/>
          <w:b/>
          <w:bCs/>
          <w:sz w:val="20"/>
          <w:szCs w:val="20"/>
          <w:lang w:val="ru-KZ"/>
        </w:rPr>
        <w:t xml:space="preserve"> </w:t>
      </w:r>
      <w:r w:rsidRPr="00044E51">
        <w:rPr>
          <w:rFonts w:ascii="Palatino Linotype" w:hAnsi="Palatino Linotype" w:cs="Times New Roman"/>
          <w:sz w:val="20"/>
          <w:szCs w:val="20"/>
          <w:lang w:val="ru-KZ"/>
        </w:rPr>
        <w:t>Model Name. (Year, Month Day). Prompt or content description [Large language model]. Platform name. URL</w:t>
      </w: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w:t>
      </w:r>
      <w:r w:rsidRPr="00F9677C">
        <w:rPr>
          <w:rFonts w:ascii="Palatino Linotype" w:hAnsi="Palatino Linotype" w:cs="Times New Roman"/>
          <w:sz w:val="20"/>
          <w:szCs w:val="20"/>
          <w:lang w:val="kk-KZ"/>
        </w:rPr>
        <w:lastRenderedPageBreak/>
        <w:t xml:space="preserve">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13F0D91D" w14:textId="619BB0EC"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Pr="00A41EAB">
        <w:rPr>
          <w:rFonts w:ascii="Palatino Linotype" w:hAnsi="Palatino Linotype"/>
          <w:sz w:val="20"/>
          <w:szCs w:val="20"/>
          <w:lang w:val="ru-KZ"/>
        </w:rPr>
        <w:t>4.5 × 3.21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lastRenderedPageBreak/>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9105" w14:textId="77777777" w:rsidR="00CF7F30" w:rsidRDefault="00CF7F30" w:rsidP="00EF08A3">
      <w:pPr>
        <w:spacing w:after="0" w:line="240" w:lineRule="auto"/>
      </w:pPr>
      <w:r>
        <w:separator/>
      </w:r>
    </w:p>
  </w:endnote>
  <w:endnote w:type="continuationSeparator" w:id="0">
    <w:p w14:paraId="036A0505" w14:textId="77777777" w:rsidR="00CF7F30" w:rsidRDefault="00CF7F30"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1B67" w14:textId="77777777" w:rsidR="00CF7F30" w:rsidRDefault="00CF7F30" w:rsidP="00EF08A3">
      <w:pPr>
        <w:spacing w:after="0" w:line="240" w:lineRule="auto"/>
      </w:pPr>
      <w:r>
        <w:separator/>
      </w:r>
    </w:p>
  </w:footnote>
  <w:footnote w:type="continuationSeparator" w:id="0">
    <w:p w14:paraId="5910BA52" w14:textId="77777777" w:rsidR="00CF7F30" w:rsidRDefault="00CF7F30"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06825B81" w:rsidR="005E757A" w:rsidRDefault="00ED3AA0">
    <w:pPr>
      <w:pStyle w:val="Header"/>
      <w:jc w:val="center"/>
    </w:pPr>
    <w:r>
      <w:rPr>
        <w:noProof/>
      </w:rPr>
      <w:drawing>
        <wp:anchor distT="0" distB="0" distL="114300" distR="114300" simplePos="0" relativeHeight="251676672" behindDoc="1" locked="0" layoutInCell="1" allowOverlap="1" wp14:anchorId="3502B6D8" wp14:editId="08CE8D0D">
          <wp:simplePos x="0" y="0"/>
          <wp:positionH relativeFrom="column">
            <wp:posOffset>-99060</wp:posOffset>
          </wp:positionH>
          <wp:positionV relativeFrom="paragraph">
            <wp:posOffset>-55245</wp:posOffset>
          </wp:positionV>
          <wp:extent cx="2229394" cy="548640"/>
          <wp:effectExtent l="0" t="0" r="0" b="3810"/>
          <wp:wrapNone/>
          <wp:docPr id="5847693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394"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5A538366">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7F4F50B8" w14:textId="77777777" w:rsidR="005E757A" w:rsidRPr="00871830" w:rsidRDefault="00DD4797" w:rsidP="005E757A">
                          <w:pPr>
                            <w:pStyle w:val="Header"/>
                            <w:spacing w:line="216" w:lineRule="auto"/>
                            <w:rPr>
                              <w:rFonts w:ascii="Palatino Linotype" w:hAnsi="Palatino Linotype" w:cs="Times New Roman"/>
                              <w:bCs/>
                              <w:sz w:val="20"/>
                              <w:szCs w:val="20"/>
                            </w:rPr>
                          </w:pPr>
                          <w:r w:rsidRPr="00DD4797">
                            <w:rPr>
                              <w:rFonts w:ascii="Palatino Linotype" w:hAnsi="Palatino Linotype"/>
                              <w:color w:val="000000"/>
                              <w:sz w:val="20"/>
                              <w:szCs w:val="20"/>
                            </w:rPr>
                            <w:t>1-том, 1-нөмір, маусым, 2025</w:t>
                          </w:r>
                          <w:r w:rsidR="006326DA">
                            <w:rPr>
                              <w:rFonts w:ascii="Palatino Linotype" w:hAnsi="Palatino Linotype"/>
                              <w:color w:val="000000"/>
                              <w:sz w:val="20"/>
                              <w:szCs w:val="20"/>
                            </w:rPr>
                            <w:t>.</w:t>
                          </w:r>
                          <w:r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Том 1, №</w:t>
                          </w:r>
                          <w:r w:rsidR="005E757A" w:rsidRPr="00871830">
                            <w:rPr>
                              <w:rFonts w:ascii="Times New Roman" w:hAnsi="Times New Roman" w:cs="Times New Roman"/>
                              <w:bCs/>
                              <w:sz w:val="20"/>
                              <w:szCs w:val="20"/>
                            </w:rPr>
                            <w:t> </w:t>
                          </w:r>
                          <w:r w:rsidR="005E757A" w:rsidRPr="00871830">
                            <w:rPr>
                              <w:rFonts w:ascii="Palatino Linotype" w:hAnsi="Palatino Linotype" w:cs="Times New Roman"/>
                              <w:bCs/>
                              <w:sz w:val="20"/>
                              <w:szCs w:val="20"/>
                            </w:rPr>
                            <w:t xml:space="preserve">1, </w:t>
                          </w:r>
                          <w:r w:rsidR="005E757A" w:rsidRPr="00871830">
                            <w:rPr>
                              <w:rFonts w:ascii="Palatino Linotype" w:hAnsi="Palatino Linotype" w:cs="Palatino Linotype"/>
                              <w:bCs/>
                              <w:sz w:val="20"/>
                              <w:szCs w:val="20"/>
                            </w:rPr>
                            <w:t>июнь</w:t>
                          </w:r>
                          <w:r w:rsidR="005E757A" w:rsidRPr="00871830">
                            <w:rPr>
                              <w:rFonts w:ascii="Palatino Linotype" w:hAnsi="Palatino Linotype" w:cs="Times New Roman"/>
                              <w:bCs/>
                              <w:sz w:val="20"/>
                              <w:szCs w:val="20"/>
                            </w:rPr>
                            <w:t xml:space="preserve"> 2025.</w:t>
                          </w:r>
                          <w:r w:rsidR="005E757A" w:rsidRPr="00871830">
                            <w:rPr>
                              <w:rFonts w:ascii="Palatino Linotype" w:hAnsi="Palatino Linotype"/>
                              <w:noProof/>
                              <w:sz w:val="20"/>
                              <w:szCs w:val="20"/>
                              <w:lang w:eastAsia="ru-RU"/>
                            </w:rPr>
                            <w:t xml:space="preserve"> </w:t>
                          </w:r>
                        </w:p>
                        <w:p w14:paraId="20D8AF90" w14:textId="77777777"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Vol.1, No.1, June 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7F4F50B8" w14:textId="77777777" w:rsidR="005E757A" w:rsidRPr="00871830" w:rsidRDefault="00DD4797" w:rsidP="005E757A">
                    <w:pPr>
                      <w:pStyle w:val="Header"/>
                      <w:spacing w:line="216" w:lineRule="auto"/>
                      <w:rPr>
                        <w:rFonts w:ascii="Palatino Linotype" w:hAnsi="Palatino Linotype" w:cs="Times New Roman"/>
                        <w:bCs/>
                        <w:sz w:val="20"/>
                        <w:szCs w:val="20"/>
                      </w:rPr>
                    </w:pPr>
                    <w:r w:rsidRPr="00DD4797">
                      <w:rPr>
                        <w:rFonts w:ascii="Palatino Linotype" w:hAnsi="Palatino Linotype"/>
                        <w:color w:val="000000"/>
                        <w:sz w:val="20"/>
                        <w:szCs w:val="20"/>
                      </w:rPr>
                      <w:t>1-том, 1-нөмір, маусым, 2025</w:t>
                    </w:r>
                    <w:r w:rsidR="006326DA">
                      <w:rPr>
                        <w:rFonts w:ascii="Palatino Linotype" w:hAnsi="Palatino Linotype"/>
                        <w:color w:val="000000"/>
                        <w:sz w:val="20"/>
                        <w:szCs w:val="20"/>
                      </w:rPr>
                      <w:t>.</w:t>
                    </w:r>
                    <w:r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Том 1, №</w:t>
                    </w:r>
                    <w:r w:rsidR="005E757A" w:rsidRPr="00871830">
                      <w:rPr>
                        <w:rFonts w:ascii="Times New Roman" w:hAnsi="Times New Roman" w:cs="Times New Roman"/>
                        <w:bCs/>
                        <w:sz w:val="20"/>
                        <w:szCs w:val="20"/>
                      </w:rPr>
                      <w:t> </w:t>
                    </w:r>
                    <w:r w:rsidR="005E757A" w:rsidRPr="00871830">
                      <w:rPr>
                        <w:rFonts w:ascii="Palatino Linotype" w:hAnsi="Palatino Linotype" w:cs="Times New Roman"/>
                        <w:bCs/>
                        <w:sz w:val="20"/>
                        <w:szCs w:val="20"/>
                      </w:rPr>
                      <w:t xml:space="preserve">1, </w:t>
                    </w:r>
                    <w:r w:rsidR="005E757A" w:rsidRPr="00871830">
                      <w:rPr>
                        <w:rFonts w:ascii="Palatino Linotype" w:hAnsi="Palatino Linotype" w:cs="Palatino Linotype"/>
                        <w:bCs/>
                        <w:sz w:val="20"/>
                        <w:szCs w:val="20"/>
                      </w:rPr>
                      <w:t>июнь</w:t>
                    </w:r>
                    <w:r w:rsidR="005E757A" w:rsidRPr="00871830">
                      <w:rPr>
                        <w:rFonts w:ascii="Palatino Linotype" w:hAnsi="Palatino Linotype" w:cs="Times New Roman"/>
                        <w:bCs/>
                        <w:sz w:val="20"/>
                        <w:szCs w:val="20"/>
                      </w:rPr>
                      <w:t xml:space="preserve"> 2025.</w:t>
                    </w:r>
                    <w:r w:rsidR="005E757A" w:rsidRPr="00871830">
                      <w:rPr>
                        <w:rFonts w:ascii="Palatino Linotype" w:hAnsi="Palatino Linotype"/>
                        <w:noProof/>
                        <w:sz w:val="20"/>
                        <w:szCs w:val="20"/>
                        <w:lang w:eastAsia="ru-RU"/>
                      </w:rPr>
                      <w:t xml:space="preserve"> </w:t>
                    </w:r>
                  </w:p>
                  <w:p w14:paraId="20D8AF90" w14:textId="77777777"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Vol.1, No.1, June 2025. </w:t>
                    </w:r>
                  </w:p>
                </w:txbxContent>
              </v:textbox>
              <w10:wrap anchorx="margin"/>
            </v:shape>
          </w:pict>
        </mc:Fallback>
      </mc:AlternateContent>
    </w:r>
  </w:p>
  <w:p w14:paraId="59FD5B07" w14:textId="1CB5C406" w:rsidR="005E757A" w:rsidRDefault="00000000">
    <w:pPr>
      <w:pStyle w:val="Header"/>
      <w:jc w:val="center"/>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74FEDD16" w:rsidR="005E757A" w:rsidRPr="005E757A" w:rsidRDefault="00ED3AA0">
    <w:pPr>
      <w:pStyle w:val="Header"/>
      <w:jc w:val="center"/>
      <w:rPr>
        <w:rFonts w:ascii="Palatino Linotype" w:hAnsi="Palatino Linotype"/>
        <w:sz w:val="20"/>
        <w:szCs w:val="20"/>
      </w:rPr>
    </w:pPr>
    <w:r>
      <w:rPr>
        <w:noProof/>
      </w:rPr>
      <w:drawing>
        <wp:anchor distT="0" distB="0" distL="114300" distR="114300" simplePos="0" relativeHeight="251674624" behindDoc="1" locked="0" layoutInCell="1" allowOverlap="1" wp14:anchorId="7074799E" wp14:editId="27AAAD4D">
          <wp:simplePos x="0" y="0"/>
          <wp:positionH relativeFrom="margin">
            <wp:posOffset>3171190</wp:posOffset>
          </wp:positionH>
          <wp:positionV relativeFrom="paragraph">
            <wp:posOffset>-46355</wp:posOffset>
          </wp:positionV>
          <wp:extent cx="2229394" cy="548640"/>
          <wp:effectExtent l="0" t="0" r="0" b="3810"/>
          <wp:wrapNone/>
          <wp:docPr id="2206441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394"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093C9A7A">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58A84BF6" w14:textId="77777777" w:rsidR="005E757A" w:rsidRPr="00871830" w:rsidRDefault="00DD4797" w:rsidP="005E757A">
                          <w:pPr>
                            <w:pStyle w:val="Header"/>
                            <w:spacing w:line="216" w:lineRule="auto"/>
                            <w:rPr>
                              <w:rFonts w:ascii="Palatino Linotype" w:hAnsi="Palatino Linotype" w:cs="Times New Roman"/>
                              <w:bCs/>
                              <w:sz w:val="20"/>
                              <w:szCs w:val="20"/>
                            </w:rPr>
                          </w:pPr>
                          <w:r w:rsidRPr="00DD4797">
                            <w:rPr>
                              <w:rFonts w:ascii="Palatino Linotype" w:hAnsi="Palatino Linotype"/>
                              <w:color w:val="000000"/>
                              <w:sz w:val="20"/>
                              <w:szCs w:val="20"/>
                            </w:rPr>
                            <w:t>1-том, 1-нөмір, маусым, 2025</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Том 1, №</w:t>
                          </w:r>
                          <w:r w:rsidR="005E757A" w:rsidRPr="00871830">
                            <w:rPr>
                              <w:rFonts w:ascii="Times New Roman" w:hAnsi="Times New Roman" w:cs="Times New Roman"/>
                              <w:bCs/>
                              <w:sz w:val="20"/>
                              <w:szCs w:val="20"/>
                            </w:rPr>
                            <w:t> </w:t>
                          </w:r>
                          <w:r w:rsidR="005E757A" w:rsidRPr="00871830">
                            <w:rPr>
                              <w:rFonts w:ascii="Palatino Linotype" w:hAnsi="Palatino Linotype" w:cs="Times New Roman"/>
                              <w:bCs/>
                              <w:sz w:val="20"/>
                              <w:szCs w:val="20"/>
                            </w:rPr>
                            <w:t xml:space="preserve">1, </w:t>
                          </w:r>
                          <w:r w:rsidR="005E757A" w:rsidRPr="00871830">
                            <w:rPr>
                              <w:rFonts w:ascii="Palatino Linotype" w:hAnsi="Palatino Linotype" w:cs="Palatino Linotype"/>
                              <w:bCs/>
                              <w:sz w:val="20"/>
                              <w:szCs w:val="20"/>
                            </w:rPr>
                            <w:t>июнь</w:t>
                          </w:r>
                          <w:r w:rsidR="005E757A" w:rsidRPr="00871830">
                            <w:rPr>
                              <w:rFonts w:ascii="Palatino Linotype" w:hAnsi="Palatino Linotype" w:cs="Times New Roman"/>
                              <w:bCs/>
                              <w:sz w:val="20"/>
                              <w:szCs w:val="20"/>
                            </w:rPr>
                            <w:t xml:space="preserve"> 2025.</w:t>
                          </w:r>
                          <w:r w:rsidR="005E757A" w:rsidRPr="00871830">
                            <w:rPr>
                              <w:rFonts w:ascii="Palatino Linotype" w:hAnsi="Palatino Linotype"/>
                              <w:noProof/>
                              <w:sz w:val="20"/>
                              <w:szCs w:val="20"/>
                              <w:lang w:eastAsia="ru-RU"/>
                            </w:rPr>
                            <w:t xml:space="preserve"> </w:t>
                          </w:r>
                        </w:p>
                        <w:p w14:paraId="4B770A83" w14:textId="77777777"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Vol.1, No.1, June 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58A84BF6" w14:textId="77777777" w:rsidR="005E757A" w:rsidRPr="00871830" w:rsidRDefault="00DD4797" w:rsidP="005E757A">
                    <w:pPr>
                      <w:pStyle w:val="Header"/>
                      <w:spacing w:line="216" w:lineRule="auto"/>
                      <w:rPr>
                        <w:rFonts w:ascii="Palatino Linotype" w:hAnsi="Palatino Linotype" w:cs="Times New Roman"/>
                        <w:bCs/>
                        <w:sz w:val="20"/>
                        <w:szCs w:val="20"/>
                      </w:rPr>
                    </w:pPr>
                    <w:r w:rsidRPr="00DD4797">
                      <w:rPr>
                        <w:rFonts w:ascii="Palatino Linotype" w:hAnsi="Palatino Linotype"/>
                        <w:color w:val="000000"/>
                        <w:sz w:val="20"/>
                        <w:szCs w:val="20"/>
                      </w:rPr>
                      <w:t>1-том, 1-нөмір, маусым, 2025</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Том 1, №</w:t>
                    </w:r>
                    <w:r w:rsidR="005E757A" w:rsidRPr="00871830">
                      <w:rPr>
                        <w:rFonts w:ascii="Times New Roman" w:hAnsi="Times New Roman" w:cs="Times New Roman"/>
                        <w:bCs/>
                        <w:sz w:val="20"/>
                        <w:szCs w:val="20"/>
                      </w:rPr>
                      <w:t> </w:t>
                    </w:r>
                    <w:r w:rsidR="005E757A" w:rsidRPr="00871830">
                      <w:rPr>
                        <w:rFonts w:ascii="Palatino Linotype" w:hAnsi="Palatino Linotype" w:cs="Times New Roman"/>
                        <w:bCs/>
                        <w:sz w:val="20"/>
                        <w:szCs w:val="20"/>
                      </w:rPr>
                      <w:t xml:space="preserve">1, </w:t>
                    </w:r>
                    <w:r w:rsidR="005E757A" w:rsidRPr="00871830">
                      <w:rPr>
                        <w:rFonts w:ascii="Palatino Linotype" w:hAnsi="Palatino Linotype" w:cs="Palatino Linotype"/>
                        <w:bCs/>
                        <w:sz w:val="20"/>
                        <w:szCs w:val="20"/>
                      </w:rPr>
                      <w:t>июнь</w:t>
                    </w:r>
                    <w:r w:rsidR="005E757A" w:rsidRPr="00871830">
                      <w:rPr>
                        <w:rFonts w:ascii="Palatino Linotype" w:hAnsi="Palatino Linotype" w:cs="Times New Roman"/>
                        <w:bCs/>
                        <w:sz w:val="20"/>
                        <w:szCs w:val="20"/>
                      </w:rPr>
                      <w:t xml:space="preserve"> 2025.</w:t>
                    </w:r>
                    <w:r w:rsidR="005E757A" w:rsidRPr="00871830">
                      <w:rPr>
                        <w:rFonts w:ascii="Palatino Linotype" w:hAnsi="Palatino Linotype"/>
                        <w:noProof/>
                        <w:sz w:val="20"/>
                        <w:szCs w:val="20"/>
                        <w:lang w:eastAsia="ru-RU"/>
                      </w:rPr>
                      <w:t xml:space="preserve"> </w:t>
                    </w:r>
                  </w:p>
                  <w:p w14:paraId="4B770A83" w14:textId="77777777"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Vol.1, No.1, June 2025. </w:t>
                    </w:r>
                  </w:p>
                </w:txbxContent>
              </v:textbox>
              <w10:wrap anchorx="margin"/>
            </v:shape>
          </w:pict>
        </mc:Fallback>
      </mc:AlternateContent>
    </w:r>
  </w:p>
  <w:p w14:paraId="4784CB2D" w14:textId="77777777" w:rsidR="005E757A" w:rsidRPr="005E757A" w:rsidRDefault="00000000">
    <w:pPr>
      <w:pStyle w:val="Header"/>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94094"/>
    <w:rsid w:val="000C02D5"/>
    <w:rsid w:val="000C2CE6"/>
    <w:rsid w:val="00135E57"/>
    <w:rsid w:val="0016434B"/>
    <w:rsid w:val="00174F3B"/>
    <w:rsid w:val="001A6564"/>
    <w:rsid w:val="00232383"/>
    <w:rsid w:val="002F0D50"/>
    <w:rsid w:val="003068AD"/>
    <w:rsid w:val="00311F95"/>
    <w:rsid w:val="00371E78"/>
    <w:rsid w:val="00393A5D"/>
    <w:rsid w:val="0039684F"/>
    <w:rsid w:val="003A1190"/>
    <w:rsid w:val="003E49EE"/>
    <w:rsid w:val="00402903"/>
    <w:rsid w:val="00410D55"/>
    <w:rsid w:val="00441D2E"/>
    <w:rsid w:val="0046490F"/>
    <w:rsid w:val="00465004"/>
    <w:rsid w:val="0049755B"/>
    <w:rsid w:val="004B0D71"/>
    <w:rsid w:val="004D66BB"/>
    <w:rsid w:val="005026D0"/>
    <w:rsid w:val="00511EFA"/>
    <w:rsid w:val="00513D92"/>
    <w:rsid w:val="005379C7"/>
    <w:rsid w:val="00557899"/>
    <w:rsid w:val="0058511D"/>
    <w:rsid w:val="005B52FE"/>
    <w:rsid w:val="005D3390"/>
    <w:rsid w:val="005E757A"/>
    <w:rsid w:val="0061771B"/>
    <w:rsid w:val="006326DA"/>
    <w:rsid w:val="006B143B"/>
    <w:rsid w:val="006F5059"/>
    <w:rsid w:val="0070575E"/>
    <w:rsid w:val="00707E5C"/>
    <w:rsid w:val="00773EC0"/>
    <w:rsid w:val="00792AE3"/>
    <w:rsid w:val="007A66B6"/>
    <w:rsid w:val="007E2F4C"/>
    <w:rsid w:val="008047EE"/>
    <w:rsid w:val="008462F4"/>
    <w:rsid w:val="008A2742"/>
    <w:rsid w:val="009A32D8"/>
    <w:rsid w:val="009F341F"/>
    <w:rsid w:val="009F5603"/>
    <w:rsid w:val="00A41EAB"/>
    <w:rsid w:val="00AF0117"/>
    <w:rsid w:val="00B06AA9"/>
    <w:rsid w:val="00B338BF"/>
    <w:rsid w:val="00B62163"/>
    <w:rsid w:val="00C110C9"/>
    <w:rsid w:val="00C72046"/>
    <w:rsid w:val="00CB4B1F"/>
    <w:rsid w:val="00CC0C83"/>
    <w:rsid w:val="00CF7F30"/>
    <w:rsid w:val="00D06873"/>
    <w:rsid w:val="00D10169"/>
    <w:rsid w:val="00D2289C"/>
    <w:rsid w:val="00D4781E"/>
    <w:rsid w:val="00D53572"/>
    <w:rsid w:val="00D73202"/>
    <w:rsid w:val="00D756AB"/>
    <w:rsid w:val="00D81AF5"/>
    <w:rsid w:val="00DA646E"/>
    <w:rsid w:val="00DC68E2"/>
    <w:rsid w:val="00DD4797"/>
    <w:rsid w:val="00E44A49"/>
    <w:rsid w:val="00ED3AA0"/>
    <w:rsid w:val="00EF08A3"/>
    <w:rsid w:val="00F13C7E"/>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2.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Казахстан</c:v>
                </c:pt>
                <c:pt idx="1">
                  <c:v>Россия</c:v>
                </c:pt>
                <c:pt idx="2">
                  <c:v>Китай </c:v>
                </c:pt>
                <c:pt idx="3">
                  <c:v>Франция</c:v>
                </c:pt>
                <c:pt idx="4">
                  <c:v>США</c:v>
                </c:pt>
                <c:pt idx="5">
                  <c:v>Германия</c:v>
                </c:pt>
                <c:pt idx="6">
                  <c:v>Финдляндия</c:v>
                </c:pt>
                <c:pt idx="7">
                  <c:v>Швеция</c:v>
                </c:pt>
                <c:pt idx="8">
                  <c:v>Япония</c:v>
                </c:pt>
                <c:pt idx="9">
                  <c:v>Корея</c:v>
                </c:pt>
              </c:strCache>
            </c:strRef>
          </c:cat>
          <c:val>
            <c:numRef>
              <c:f>Лист1!$B$3:$B$12</c:f>
              <c:numCache>
                <c:formatCode>General</c:formatCode>
                <c:ptCount val="10"/>
                <c:pt idx="0">
                  <c:v>0.12</c:v>
                </c:pt>
                <c:pt idx="1">
                  <c:v>0.94</c:v>
                </c:pt>
                <c:pt idx="2">
                  <c:v>2</c:v>
                </c:pt>
                <c:pt idx="3">
                  <c:v>2.2999999999999998</c:v>
                </c:pt>
                <c:pt idx="4">
                  <c:v>2.7</c:v>
                </c:pt>
                <c:pt idx="5">
                  <c:v>2.9</c:v>
                </c:pt>
                <c:pt idx="6">
                  <c:v>3.1</c:v>
                </c:pt>
                <c:pt idx="7">
                  <c:v>3.1</c:v>
                </c:pt>
                <c:pt idx="8">
                  <c:v>3.4</c:v>
                </c:pt>
                <c:pt idx="9">
                  <c:v>4.0999999999999996</c:v>
                </c:pt>
              </c:numCache>
            </c:numRef>
          </c:val>
          <c:extLst>
            <c:ext xmlns:c16="http://schemas.microsoft.com/office/drawing/2014/chart" uri="{C3380CC4-5D6E-409C-BE32-E72D297353CC}">
              <c16:uniqueId val="{00000000-1F8B-4FC7-BD10-4A2FEE5AEC12}"/>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Pages>
  <Words>2479</Words>
  <Characters>14136</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80</cp:revision>
  <dcterms:created xsi:type="dcterms:W3CDTF">2025-07-09T08:07:00Z</dcterms:created>
  <dcterms:modified xsi:type="dcterms:W3CDTF">2025-07-11T10:55:00Z</dcterms:modified>
</cp:coreProperties>
</file>