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DECLARATION</w:t>
      </w:r>
    </w:p>
    <w:p w:rsidR="00000000" w:rsidDel="00000000" w:rsidP="00000000" w:rsidRDefault="00000000" w:rsidRPr="00000000" w14:paraId="00000002">
      <w:pPr>
        <w:spacing w:after="16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regarding the conclusion of the agreement for the use of the BidFinance Platform</w:t>
      </w:r>
    </w:p>
    <w:p w:rsidR="00000000" w:rsidDel="00000000" w:rsidP="00000000" w:rsidRDefault="00000000" w:rsidRPr="00000000" w14:paraId="00000003">
      <w:pPr>
        <w:spacing w:after="160"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(hereinafter referred to as the “</w:t>
      </w:r>
      <w:r w:rsidDel="00000000" w:rsidR="00000000" w:rsidRPr="00000000">
        <w:rPr>
          <w:rFonts w:ascii="Times New Roman" w:cs="Times New Roman" w:eastAsia="Times New Roman" w:hAnsi="Times New Roman"/>
          <w:b w:val="1"/>
          <w:bCs w:val="1"/>
          <w:sz w:val="20"/>
          <w:szCs w:val="20"/>
          <w:rtl w:val="0"/>
        </w:rPr>
        <w:t xml:space="preserve">Declaration</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4">
      <w:pPr>
        <w:spacing w:after="160"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spacing w:after="160"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submitted by:</w:t>
      </w:r>
    </w:p>
    <w:p w:rsidR="00000000" w:rsidDel="00000000" w:rsidP="00000000" w:rsidRDefault="00000000" w:rsidRPr="00000000" w14:paraId="00000006">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spacing w:line="240" w:lineRule="auto"/>
        <w:jc w:val="both"/>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sz w:val="20"/>
          <w:szCs w:val="20"/>
          <w:rtl w:val="0"/>
        </w:rPr>
        <w:t xml:space="preserve">[</w:t>
      </w:r>
      <w:r w:rsidDel="00000000" w:rsidR="00000000" w:rsidRPr="00000000">
        <w:rPr>
          <w:rFonts w:ascii="Times New Roman" w:cs="Times New Roman" w:eastAsia="Times New Roman" w:hAnsi="Times New Roman"/>
          <w:sz w:val="20"/>
          <w:szCs w:val="20"/>
          <w:highlight w:val="yellow"/>
          <w:rtl w:val="0"/>
        </w:rPr>
        <w:t xml:space="preserve">Company Name</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highlight w:val="yellow"/>
          <w:rtl w:val="0"/>
        </w:rPr>
        <w:t xml:space="preserve">Street Name, Postal Code, City</w:t>
      </w:r>
      <w:r w:rsidDel="00000000" w:rsidR="00000000" w:rsidRPr="00000000">
        <w:rPr>
          <w:rFonts w:ascii="Times New Roman" w:cs="Times New Roman" w:eastAsia="Times New Roman" w:hAnsi="Times New Roman"/>
          <w:sz w:val="20"/>
          <w:szCs w:val="20"/>
          <w:rtl w:val="0"/>
        </w:rPr>
        <w:t xml:space="preserve">], registered at [</w:t>
      </w:r>
      <w:r w:rsidDel="00000000" w:rsidR="00000000" w:rsidRPr="00000000">
        <w:rPr>
          <w:rFonts w:ascii="Times New Roman" w:cs="Times New Roman" w:eastAsia="Times New Roman" w:hAnsi="Times New Roman"/>
          <w:sz w:val="20"/>
          <w:szCs w:val="20"/>
          <w:highlight w:val="yellow"/>
          <w:rtl w:val="0"/>
        </w:rPr>
        <w:t xml:space="preserve">registration authority</w:t>
      </w:r>
      <w:r w:rsidDel="00000000" w:rsidR="00000000" w:rsidRPr="00000000">
        <w:rPr>
          <w:rFonts w:ascii="Times New Roman" w:cs="Times New Roman" w:eastAsia="Times New Roman" w:hAnsi="Times New Roman"/>
          <w:sz w:val="20"/>
          <w:szCs w:val="20"/>
          <w:rtl w:val="0"/>
        </w:rPr>
        <w:t xml:space="preserve">], Tax Identification Number [</w:t>
      </w:r>
      <w:r w:rsidDel="00000000" w:rsidR="00000000" w:rsidRPr="00000000">
        <w:rPr>
          <w:rFonts w:ascii="Times New Roman" w:cs="Times New Roman" w:eastAsia="Times New Roman" w:hAnsi="Times New Roman"/>
          <w:sz w:val="20"/>
          <w:szCs w:val="20"/>
          <w:highlight w:val="yellow"/>
          <w:rtl w:val="0"/>
        </w:rPr>
        <w:t xml:space="preserve">xxx-xxx-xxx</w:t>
      </w:r>
      <w:r w:rsidDel="00000000" w:rsidR="00000000" w:rsidRPr="00000000">
        <w:rPr>
          <w:rFonts w:ascii="Times New Roman" w:cs="Times New Roman" w:eastAsia="Times New Roman" w:hAnsi="Times New Roman"/>
          <w:sz w:val="20"/>
          <w:szCs w:val="20"/>
          <w:rtl w:val="0"/>
        </w:rPr>
        <w:t xml:space="preserve">], with a share capital of [</w:t>
      </w:r>
      <w:r w:rsidDel="00000000" w:rsidR="00000000" w:rsidRPr="00000000">
        <w:rPr>
          <w:rFonts w:ascii="Times New Roman" w:cs="Times New Roman" w:eastAsia="Times New Roman" w:hAnsi="Times New Roman"/>
          <w:sz w:val="20"/>
          <w:szCs w:val="20"/>
          <w:highlight w:val="yellow"/>
          <w:rtl w:val="0"/>
        </w:rPr>
        <w:t xml:space="preserve">amount of share capital</w:t>
      </w:r>
      <w:r w:rsidDel="00000000" w:rsidR="00000000" w:rsidRPr="00000000">
        <w:rPr>
          <w:rFonts w:ascii="Times New Roman" w:cs="Times New Roman" w:eastAsia="Times New Roman" w:hAnsi="Times New Roman"/>
          <w:sz w:val="20"/>
          <w:szCs w:val="20"/>
          <w:rtl w:val="0"/>
        </w:rPr>
        <w:t xml:space="preserve">] EUR fully paid (hereinafter referred to as the “</w:t>
      </w:r>
      <w:r w:rsidDel="00000000" w:rsidR="00000000" w:rsidRPr="00000000">
        <w:rPr>
          <w:rFonts w:ascii="Times New Roman" w:cs="Times New Roman" w:eastAsia="Times New Roman" w:hAnsi="Times New Roman"/>
          <w:b w:val="1"/>
          <w:bCs w:val="1"/>
          <w:sz w:val="20"/>
          <w:szCs w:val="20"/>
          <w:rtl w:val="0"/>
        </w:rPr>
        <w:t xml:space="preserve">Participant</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w:t>
      </w:r>
    </w:p>
    <w:p w:rsidR="00000000" w:rsidDel="00000000" w:rsidP="00000000" w:rsidRDefault="00000000" w:rsidRPr="00000000" w14:paraId="0000000A">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BidFinance sp. z o.o. (limited liability company), with its registered office in Kraków (address: Kącik 4 Street, 30-549 Kraków, Poland), entered into the Register of Entrepreneurs of the National Court Register by the District Court for Kraków-Śródmieście in Kraków, 11th Commercial Division of the National Court Register under KRS number: 0000975000, NIP (Tax ID): 6793240675, REGON: 522206447, with a share capital of 33,250.00 PLN, email address: </w:t>
      </w:r>
      <w:r w:rsidDel="00000000" w:rsidR="00000000" w:rsidRPr="00000000">
        <w:rPr>
          <w:rFonts w:ascii="Times New Roman" w:cs="Times New Roman" w:eastAsia="Times New Roman" w:hAnsi="Times New Roman"/>
          <w:color w:val="1155cc"/>
          <w:sz w:val="20"/>
          <w:szCs w:val="20"/>
          <w:rtl w:val="0"/>
        </w:rPr>
        <w:t xml:space="preserve">info@bidfinance.eu</w:t>
      </w:r>
      <w:r w:rsidDel="00000000" w:rsidR="00000000" w:rsidRPr="00000000">
        <w:rPr>
          <w:rFonts w:ascii="Times New Roman" w:cs="Times New Roman" w:eastAsia="Times New Roman" w:hAnsi="Times New Roman"/>
          <w:sz w:val="20"/>
          <w:szCs w:val="20"/>
          <w:rtl w:val="0"/>
        </w:rPr>
        <w:t xml:space="preserve"> (hereinafter referred to as “</w:t>
      </w:r>
      <w:r w:rsidDel="00000000" w:rsidR="00000000" w:rsidRPr="00000000">
        <w:rPr>
          <w:rFonts w:ascii="Times New Roman" w:cs="Times New Roman" w:eastAsia="Times New Roman" w:hAnsi="Times New Roman"/>
          <w:b w:val="1"/>
          <w:bCs w:val="1"/>
          <w:sz w:val="20"/>
          <w:szCs w:val="20"/>
          <w:rtl w:val="0"/>
        </w:rPr>
        <w:t xml:space="preserve">BidFinance</w:t>
      </w:r>
      <w:r w:rsidDel="00000000" w:rsidR="00000000" w:rsidRPr="00000000">
        <w:rPr>
          <w:rFonts w:ascii="Times New Roman" w:cs="Times New Roman" w:eastAsia="Times New Roman" w:hAnsi="Times New Roman"/>
          <w:sz w:val="20"/>
          <w:szCs w:val="20"/>
          <w:rtl w:val="0"/>
        </w:rPr>
        <w:t xml:space="preserve">”)</w:t>
      </w:r>
    </w:p>
    <w:p w:rsidR="00000000" w:rsidDel="00000000" w:rsidP="00000000" w:rsidRDefault="00000000" w:rsidRPr="00000000" w14:paraId="0000000C">
      <w:pPr>
        <w:spacing w:line="240"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D">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follows:</w:t>
      </w:r>
    </w:p>
    <w:p w:rsidR="00000000" w:rsidDel="00000000" w:rsidP="00000000" w:rsidRDefault="00000000" w:rsidRPr="00000000" w14:paraId="0000000E">
      <w:pPr>
        <w:spacing w:line="240" w:lineRule="auto"/>
        <w:jc w:val="both"/>
        <w:rPr>
          <w:rFonts w:ascii="Times New Roman" w:cs="Times New Roman" w:eastAsia="Times New Roman" w:hAnsi="Times New Roman"/>
          <w:b w:val="1"/>
          <w:bCs w:val="1"/>
          <w:sz w:val="20"/>
          <w:szCs w:val="20"/>
          <w:u w:val="single"/>
        </w:rPr>
      </w:pPr>
      <w:r w:rsidDel="00000000" w:rsidR="00000000" w:rsidRPr="00000000">
        <w:rPr>
          <w:rtl w:val="0"/>
        </w:rPr>
      </w:r>
    </w:p>
    <w:p w:rsidR="00000000" w:rsidDel="00000000" w:rsidP="00000000" w:rsidRDefault="00000000" w:rsidRPr="00000000" w14:paraId="0000000F">
      <w:pPr>
        <w:numPr>
          <w:ilvl w:val="0"/>
          <w:numId w:val="1"/>
        </w:numPr>
        <w:spacing w:line="240" w:lineRule="auto"/>
        <w:ind w:left="425"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Participant hereby</w:t>
      </w:r>
      <w:r w:rsidDel="00000000" w:rsidR="00000000" w:rsidRPr="00000000">
        <w:rPr>
          <w:rFonts w:ascii="Times New Roman" w:cs="Times New Roman" w:eastAsia="Times New Roman" w:hAnsi="Times New Roman"/>
          <w:sz w:val="21"/>
          <w:szCs w:val="21"/>
          <w:rtl w:val="0"/>
        </w:rPr>
        <w:t xml:space="preserve"> </w:t>
      </w:r>
      <w:r w:rsidDel="00000000" w:rsidR="00000000" w:rsidRPr="00000000">
        <w:rPr>
          <w:rFonts w:ascii="Times New Roman" w:cs="Times New Roman" w:eastAsia="Times New Roman" w:hAnsi="Times New Roman"/>
          <w:sz w:val="20"/>
          <w:szCs w:val="20"/>
          <w:rtl w:val="0"/>
        </w:rPr>
        <w:t xml:space="preserve">confirms that they have read, understood, and agree to the BidFinance Platform Terms and Conditions (hereinafter referred to as the “</w:t>
      </w:r>
      <w:r w:rsidDel="00000000" w:rsidR="00000000" w:rsidRPr="00000000">
        <w:rPr>
          <w:rFonts w:ascii="Times New Roman" w:cs="Times New Roman" w:eastAsia="Times New Roman" w:hAnsi="Times New Roman"/>
          <w:b w:val="1"/>
          <w:bCs w:val="1"/>
          <w:sz w:val="20"/>
          <w:szCs w:val="20"/>
          <w:rtl w:val="0"/>
        </w:rPr>
        <w:t xml:space="preserve">Terms and Conditions</w:t>
      </w:r>
      <w:r w:rsidDel="00000000" w:rsidR="00000000" w:rsidRPr="00000000">
        <w:rPr>
          <w:rFonts w:ascii="Times New Roman" w:cs="Times New Roman" w:eastAsia="Times New Roman" w:hAnsi="Times New Roman"/>
          <w:sz w:val="20"/>
          <w:szCs w:val="20"/>
          <w:rtl w:val="0"/>
        </w:rPr>
        <w:t xml:space="preserve">”) available at: </w:t>
      </w:r>
      <w:hyperlink r:id="rId6">
        <w:r w:rsidDel="00000000" w:rsidR="00000000" w:rsidRPr="00000000">
          <w:rPr>
            <w:rFonts w:ascii="Times New Roman" w:cs="Times New Roman" w:eastAsia="Times New Roman" w:hAnsi="Times New Roman"/>
            <w:color w:val="1155cc"/>
            <w:sz w:val="20"/>
            <w:szCs w:val="20"/>
            <w:u w:val="single"/>
            <w:rtl w:val="0"/>
          </w:rPr>
          <w:t xml:space="preserve">www.bidfinance.eu/documents</w:t>
        </w:r>
      </w:hyperlink>
      <w:r w:rsidDel="00000000" w:rsidR="00000000" w:rsidRPr="00000000">
        <w:rPr>
          <w:rFonts w:ascii="Times New Roman" w:cs="Times New Roman" w:eastAsia="Times New Roman" w:hAnsi="Times New Roman"/>
          <w:sz w:val="20"/>
          <w:szCs w:val="20"/>
          <w:rtl w:val="0"/>
        </w:rPr>
        <w:t xml:space="preserve"> and accepts the rights and obligations arising from these Terms and Conditions. By submitting this Declaration, the Participant agrees and accepts the Platform Terms and Conditions.</w:t>
      </w:r>
      <w:r w:rsidDel="00000000" w:rsidR="00000000" w:rsidRPr="00000000">
        <w:rPr>
          <w:rtl w:val="0"/>
        </w:rPr>
      </w:r>
    </w:p>
    <w:p w:rsidR="00000000" w:rsidDel="00000000" w:rsidP="00000000" w:rsidRDefault="00000000" w:rsidRPr="00000000" w14:paraId="00000010">
      <w:pPr>
        <w:numPr>
          <w:ilvl w:val="0"/>
          <w:numId w:val="1"/>
        </w:numPr>
        <w:spacing w:line="240" w:lineRule="auto"/>
        <w:ind w:left="425" w:hanging="283"/>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By submitting this Declaration, and as a result of accepting BidFinance's offer (in the form of the Terms and Conditions), a contract (with content corresponding to the Terms and Conditions) is concluded between the Participant and BidFinance regarding the Participant's use of the BidFinance Platform, which the Participant hereby confirms and accepts.</w:t>
      </w:r>
    </w:p>
    <w:p w:rsidR="00000000" w:rsidDel="00000000" w:rsidP="00000000" w:rsidRDefault="00000000" w:rsidRPr="00000000" w14:paraId="00000011">
      <w:pPr>
        <w:numPr>
          <w:ilvl w:val="0"/>
          <w:numId w:val="1"/>
        </w:numPr>
        <w:spacing w:line="240" w:lineRule="auto"/>
        <w:ind w:left="425" w:hanging="283"/>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0"/>
          <w:szCs w:val="20"/>
          <w:rtl w:val="0"/>
        </w:rPr>
        <w:t xml:space="preserve">The Participant authorizes:</w:t>
      </w: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sz w:val="20"/>
          <w:szCs w:val="20"/>
        </w:rPr>
      </w:pPr>
      <w:r w:rsidDel="00000000" w:rsidR="00000000" w:rsidRPr="00000000">
        <w:rPr>
          <w:rtl w:val="0"/>
        </w:rPr>
      </w:r>
    </w:p>
    <w:tbl>
      <w:tblPr>
        <w:tblStyle w:val="Table1"/>
        <w:tblW w:w="9585.0" w:type="dxa"/>
        <w:jc w:val="left"/>
        <w:tblInd w:w="-5.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000"/>
        <w:gridCol w:w="1905"/>
        <w:gridCol w:w="2550"/>
        <w:gridCol w:w="2130"/>
        <w:tblGridChange w:id="0">
          <w:tblGrid>
            <w:gridCol w:w="3000"/>
            <w:gridCol w:w="1905"/>
            <w:gridCol w:w="2550"/>
            <w:gridCol w:w="2130"/>
          </w:tblGrid>
        </w:tblGridChange>
      </w:tblGrid>
      <w:tr>
        <w:trPr>
          <w:cantSplit w:val="0"/>
          <w:trHeight w:val="180" w:hRule="atLeast"/>
          <w:tblHeader w:val="0"/>
        </w:trPr>
        <w:tc>
          <w:tcPr>
            <w:shd w:fill="d9d9d9" w:val="clear"/>
            <w:vAlign w:val="center"/>
          </w:tcPr>
          <w:p w:rsidR="00000000" w:rsidDel="00000000" w:rsidP="00000000" w:rsidRDefault="00000000" w:rsidRPr="00000000" w14:paraId="00000013">
            <w:pPr>
              <w:jc w:val="center"/>
              <w:rPr>
                <w:b w:val="1"/>
                <w:bCs w:val="1"/>
                <w:sz w:val="20"/>
                <w:szCs w:val="20"/>
              </w:rPr>
            </w:pPr>
            <w:r w:rsidDel="00000000" w:rsidR="00000000" w:rsidRPr="00000000">
              <w:rPr>
                <w:b w:val="1"/>
                <w:bCs w:val="1"/>
                <w:sz w:val="20"/>
                <w:szCs w:val="20"/>
                <w:rtl w:val="0"/>
              </w:rPr>
              <w:t xml:space="preserve">NAME SURNAME</w:t>
            </w:r>
          </w:p>
        </w:tc>
        <w:tc>
          <w:tcPr>
            <w:shd w:fill="d9d9d9" w:val="clear"/>
            <w:vAlign w:val="center"/>
          </w:tcPr>
          <w:p w:rsidR="00000000" w:rsidDel="00000000" w:rsidP="00000000" w:rsidRDefault="00000000" w:rsidRPr="00000000" w14:paraId="00000014">
            <w:pPr>
              <w:jc w:val="center"/>
              <w:rPr>
                <w:b w:val="1"/>
                <w:bCs w:val="1"/>
                <w:sz w:val="20"/>
                <w:szCs w:val="20"/>
              </w:rPr>
            </w:pPr>
            <w:r w:rsidDel="00000000" w:rsidR="00000000" w:rsidRPr="00000000">
              <w:rPr>
                <w:b w:val="1"/>
                <w:bCs w:val="1"/>
                <w:sz w:val="20"/>
                <w:szCs w:val="20"/>
                <w:rtl w:val="0"/>
              </w:rPr>
              <w:t xml:space="preserve">POSITION</w:t>
            </w:r>
          </w:p>
        </w:tc>
        <w:tc>
          <w:tcPr>
            <w:shd w:fill="d9d9d9" w:val="clear"/>
            <w:vAlign w:val="center"/>
          </w:tcPr>
          <w:p w:rsidR="00000000" w:rsidDel="00000000" w:rsidP="00000000" w:rsidRDefault="00000000" w:rsidRPr="00000000" w14:paraId="00000015">
            <w:pPr>
              <w:jc w:val="center"/>
              <w:rPr>
                <w:b w:val="1"/>
                <w:bCs w:val="1"/>
                <w:sz w:val="20"/>
                <w:szCs w:val="20"/>
              </w:rPr>
            </w:pPr>
            <w:r w:rsidDel="00000000" w:rsidR="00000000" w:rsidRPr="00000000">
              <w:rPr>
                <w:b w:val="1"/>
                <w:bCs w:val="1"/>
                <w:sz w:val="20"/>
                <w:szCs w:val="20"/>
                <w:rtl w:val="0"/>
              </w:rPr>
              <w:t xml:space="preserve">EMAIL</w:t>
            </w:r>
          </w:p>
        </w:tc>
        <w:tc>
          <w:tcPr>
            <w:shd w:fill="d9d9d9" w:val="clear"/>
            <w:vAlign w:val="center"/>
          </w:tcPr>
          <w:p w:rsidR="00000000" w:rsidDel="00000000" w:rsidP="00000000" w:rsidRDefault="00000000" w:rsidRPr="00000000" w14:paraId="00000016">
            <w:pPr>
              <w:jc w:val="center"/>
              <w:rPr>
                <w:b w:val="1"/>
                <w:bCs w:val="1"/>
                <w:sz w:val="20"/>
                <w:szCs w:val="20"/>
              </w:rPr>
            </w:pPr>
            <w:r w:rsidDel="00000000" w:rsidR="00000000" w:rsidRPr="00000000">
              <w:rPr>
                <w:b w:val="1"/>
                <w:bCs w:val="1"/>
                <w:sz w:val="20"/>
                <w:szCs w:val="20"/>
                <w:rtl w:val="0"/>
              </w:rPr>
              <w:t xml:space="preserve">PHONE NUMBER</w:t>
            </w:r>
          </w:p>
        </w:tc>
      </w:tr>
      <w:tr>
        <w:trPr>
          <w:cantSplit w:val="0"/>
          <w:trHeight w:val="316" w:hRule="atLeast"/>
          <w:tblHeader w:val="0"/>
        </w:trPr>
        <w:tc>
          <w:tcPr>
            <w:vAlign w:val="center"/>
          </w:tcPr>
          <w:p w:rsidR="00000000" w:rsidDel="00000000" w:rsidP="00000000" w:rsidRDefault="00000000" w:rsidRPr="00000000" w14:paraId="00000017">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18">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19">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1A">
            <w:pPr>
              <w:jc w:val="center"/>
              <w:rPr>
                <w:sz w:val="20"/>
                <w:szCs w:val="20"/>
              </w:rPr>
            </w:pPr>
            <w:r w:rsidDel="00000000" w:rsidR="00000000" w:rsidRPr="00000000">
              <w:rPr>
                <w:rtl w:val="0"/>
              </w:rPr>
            </w:r>
          </w:p>
        </w:tc>
      </w:tr>
      <w:tr>
        <w:trPr>
          <w:cantSplit w:val="0"/>
          <w:trHeight w:val="316" w:hRule="atLeast"/>
          <w:tblHeader w:val="0"/>
        </w:trPr>
        <w:tc>
          <w:tcPr>
            <w:vAlign w:val="center"/>
          </w:tcPr>
          <w:p w:rsidR="00000000" w:rsidDel="00000000" w:rsidP="00000000" w:rsidRDefault="00000000" w:rsidRPr="00000000" w14:paraId="0000001B">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1C">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1D">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1E">
            <w:pPr>
              <w:jc w:val="center"/>
              <w:rPr>
                <w:sz w:val="20"/>
                <w:szCs w:val="20"/>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01F">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0">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1">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2">
            <w:pPr>
              <w:jc w:val="center"/>
              <w:rPr>
                <w:sz w:val="20"/>
                <w:szCs w:val="20"/>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023">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4">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5">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6">
            <w:pPr>
              <w:jc w:val="center"/>
              <w:rPr>
                <w:sz w:val="20"/>
                <w:szCs w:val="20"/>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027">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8">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9">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A">
            <w:pPr>
              <w:jc w:val="center"/>
              <w:rPr>
                <w:sz w:val="20"/>
                <w:szCs w:val="20"/>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02B">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C">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D">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2E">
            <w:pPr>
              <w:jc w:val="center"/>
              <w:rPr>
                <w:sz w:val="20"/>
                <w:szCs w:val="20"/>
              </w:rPr>
            </w:pPr>
            <w:r w:rsidDel="00000000" w:rsidR="00000000" w:rsidRPr="00000000">
              <w:rPr>
                <w:rtl w:val="0"/>
              </w:rPr>
            </w:r>
          </w:p>
        </w:tc>
      </w:tr>
      <w:tr>
        <w:trPr>
          <w:cantSplit w:val="0"/>
          <w:trHeight w:val="327" w:hRule="atLeast"/>
          <w:tblHeader w:val="0"/>
        </w:trPr>
        <w:tc>
          <w:tcPr>
            <w:vAlign w:val="center"/>
          </w:tcPr>
          <w:p w:rsidR="00000000" w:rsidDel="00000000" w:rsidP="00000000" w:rsidRDefault="00000000" w:rsidRPr="00000000" w14:paraId="0000002F">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30">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31">
            <w:pPr>
              <w:jc w:val="center"/>
              <w:rPr>
                <w:sz w:val="20"/>
                <w:szCs w:val="20"/>
              </w:rPr>
            </w:pPr>
            <w:r w:rsidDel="00000000" w:rsidR="00000000" w:rsidRPr="00000000">
              <w:rPr>
                <w:rtl w:val="0"/>
              </w:rPr>
            </w:r>
          </w:p>
        </w:tc>
        <w:tc>
          <w:tcPr>
            <w:vAlign w:val="center"/>
          </w:tcPr>
          <w:p w:rsidR="00000000" w:rsidDel="00000000" w:rsidP="00000000" w:rsidRDefault="00000000" w:rsidRPr="00000000" w14:paraId="00000032">
            <w:pPr>
              <w:jc w:val="center"/>
              <w:rPr>
                <w:sz w:val="20"/>
                <w:szCs w:val="20"/>
              </w:rPr>
            </w:pPr>
            <w:r w:rsidDel="00000000" w:rsidR="00000000" w:rsidRPr="00000000">
              <w:rPr>
                <w:rtl w:val="0"/>
              </w:rPr>
            </w:r>
          </w:p>
        </w:tc>
      </w:tr>
    </w:tbl>
    <w:p w:rsidR="00000000" w:rsidDel="00000000" w:rsidP="00000000" w:rsidRDefault="00000000" w:rsidRPr="00000000" w14:paraId="00000033">
      <w:pPr>
        <w:spacing w:after="160" w:line="25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each of them individually and independently to represent the Participant in all activities related to the Participant’s functioning on the BidFinance Platform, including, in particular, submitting offers on behalf of the Participant for the sale of debt portfolios, participation in the auctions of debt portfolios, as well as communicating with other participants of the BidFinance Platform and with BidFinance.</w:t>
      </w:r>
    </w:p>
    <w:p w:rsidR="00000000" w:rsidDel="00000000" w:rsidP="00000000" w:rsidRDefault="00000000" w:rsidRPr="00000000" w14:paraId="00000035">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6">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Participant guarantees that all actions taken by its representatives on the BidFinance Platform will be binding upon them.</w:t>
      </w:r>
    </w:p>
    <w:p w:rsidR="00000000" w:rsidDel="00000000" w:rsidP="00000000" w:rsidRDefault="00000000" w:rsidRPr="00000000" w14:paraId="00000037">
      <w:pPr>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controller of personal data is in connection with this Declaration and the use of the BidFinance Platform is BidFinance sp. z o.o., with its address at Kącik 4 Street, 30-549 Kraków, Poland. The personal data of the Participant and its representatives is processed in order to conclude and execute the agreement for the provision of the BidFinance Platform to its Participants. The Participant’s representatives indicated in this Declaration acknowledge that they have the right to access the data, submit a request for rectification, deletion, restriction of processing, or object to data processing. Detailed information on the processing of personal data by BidFinance can be found at: </w:t>
      </w:r>
      <w:hyperlink r:id="rId7">
        <w:r w:rsidDel="00000000" w:rsidR="00000000" w:rsidRPr="00000000">
          <w:rPr>
            <w:rFonts w:ascii="Times New Roman" w:cs="Times New Roman" w:eastAsia="Times New Roman" w:hAnsi="Times New Roman"/>
            <w:color w:val="0000ff"/>
            <w:sz w:val="20"/>
            <w:szCs w:val="20"/>
            <w:u w:val="single"/>
            <w:rtl w:val="0"/>
          </w:rPr>
          <w:t xml:space="preserve">https://www.bidfinance.eu/en/documentation</w:t>
        </w:r>
      </w:hyperlink>
      <w:r w:rsidDel="00000000" w:rsidR="00000000" w:rsidRPr="00000000">
        <w:rPr>
          <w:rFonts w:ascii="Times New Roman" w:cs="Times New Roman" w:eastAsia="Times New Roman" w:hAnsi="Times New Roman"/>
          <w:sz w:val="20"/>
          <w:szCs w:val="20"/>
          <w:rtl w:val="0"/>
        </w:rPr>
        <w:t xml:space="preserve"> (under the "Privacy Policy" tab).</w:t>
      </w:r>
    </w:p>
    <w:p w:rsidR="00000000" w:rsidDel="00000000" w:rsidP="00000000" w:rsidRDefault="00000000" w:rsidRPr="00000000" w14:paraId="00000039">
      <w:pPr>
        <w:spacing w:after="160" w:line="259" w:lineRule="auto"/>
        <w:jc w:val="both"/>
        <w:rPr>
          <w:rFonts w:ascii="Times New Roman" w:cs="Times New Roman" w:eastAsia="Times New Roman" w:hAnsi="Times New Roman"/>
          <w:sz w:val="20"/>
          <w:szCs w:val="20"/>
        </w:rPr>
      </w:pPr>
      <w:r w:rsidDel="00000000" w:rsidR="00000000" w:rsidRPr="00000000">
        <w:rPr>
          <w:rtl w:val="0"/>
        </w:rPr>
      </w:r>
    </w:p>
    <w:tbl>
      <w:tblPr>
        <w:tblStyle w:val="Table2"/>
        <w:tblW w:w="96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1"/>
        <w:tblGridChange w:id="0">
          <w:tblGrid>
            <w:gridCol w:w="96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3D">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Signature of the person(s) authorized to represent the Participant</w:t>
            </w:r>
          </w:p>
        </w:tc>
      </w:tr>
    </w:tbl>
    <w:p w:rsidR="00000000" w:rsidDel="00000000" w:rsidP="00000000" w:rsidRDefault="00000000" w:rsidRPr="00000000" w14:paraId="0000003E">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44">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ANNEX N1 to the Declaration</w:t>
      </w:r>
    </w:p>
    <w:p w:rsidR="00000000" w:rsidDel="00000000" w:rsidP="00000000" w:rsidRDefault="00000000" w:rsidRPr="00000000" w14:paraId="00000045">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jc w:val="center"/>
        <w:rPr>
          <w:rFonts w:ascii="Times New Roman" w:cs="Times New Roman" w:eastAsia="Times New Roman" w:hAnsi="Times New Roman"/>
          <w:b w:val="1"/>
          <w:bCs w:val="1"/>
          <w:sz w:val="20"/>
          <w:szCs w:val="20"/>
          <w:u w:val="single"/>
        </w:rPr>
      </w:pPr>
      <w:r w:rsidDel="00000000" w:rsidR="00000000" w:rsidRPr="00000000">
        <w:rPr>
          <w:rFonts w:ascii="Times New Roman" w:cs="Times New Roman" w:eastAsia="Times New Roman" w:hAnsi="Times New Roman"/>
          <w:b w:val="1"/>
          <w:bCs w:val="1"/>
          <w:sz w:val="20"/>
          <w:szCs w:val="20"/>
          <w:u w:val="single"/>
          <w:rtl w:val="0"/>
        </w:rPr>
        <w:t xml:space="preserve">SHALL BE SIGNED ONLY IN CASE THE PARTICIPANT PLANS TO SELL THE DEBT PORTFOLIO</w:t>
      </w:r>
    </w:p>
    <w:p w:rsidR="00000000" w:rsidDel="00000000" w:rsidP="00000000" w:rsidRDefault="00000000" w:rsidRPr="00000000" w14:paraId="00000047">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PRICE LIST</w:t>
      </w:r>
      <w:r w:rsidDel="00000000" w:rsidR="00000000" w:rsidRPr="00000000">
        <w:rPr>
          <w:rtl w:val="0"/>
        </w:rPr>
      </w:r>
    </w:p>
    <w:p w:rsidR="00000000" w:rsidDel="00000000" w:rsidP="00000000" w:rsidRDefault="00000000" w:rsidRPr="00000000" w14:paraId="00000049">
      <w:pPr>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4A">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As a result of submitting this Annex, the Participant, being a Seller, hereby accepts the Price List. The Price List is binding during the period of cooperation with BidFinance unless the Parties agree otherwise in documentary form (declaration of intent in the form of a document in a manner that allows the person making the declaration to be identified, including email).</w:t>
      </w:r>
    </w:p>
    <w:p w:rsidR="00000000" w:rsidDel="00000000" w:rsidP="00000000" w:rsidRDefault="00000000" w:rsidRPr="00000000" w14:paraId="0000004B">
      <w:pP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I accept the following price list:</w:t>
      </w:r>
    </w:p>
    <w:p w:rsidR="00000000" w:rsidDel="00000000" w:rsidP="00000000" w:rsidRDefault="00000000" w:rsidRPr="00000000" w14:paraId="0000004D">
      <w:pPr>
        <w:rPr>
          <w:rFonts w:ascii="Times New Roman" w:cs="Times New Roman" w:eastAsia="Times New Roman" w:hAnsi="Times New Roman"/>
          <w:sz w:val="20"/>
          <w:szCs w:val="20"/>
        </w:rPr>
      </w:pPr>
      <w:r w:rsidDel="00000000" w:rsidR="00000000" w:rsidRPr="00000000">
        <w:rPr>
          <w:rtl w:val="0"/>
        </w:rPr>
      </w:r>
    </w:p>
    <w:tbl>
      <w:tblPr>
        <w:tblStyle w:val="Table3"/>
        <w:tblpPr w:leftFromText="180" w:rightFromText="180" w:topFromText="0" w:bottomFromText="0" w:vertAnchor="text" w:horzAnchor="text" w:tblpX="0" w:tblpY="0"/>
        <w:tblW w:w="9660.0" w:type="dxa"/>
        <w:jc w:val="left"/>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645"/>
        <w:gridCol w:w="2025"/>
        <w:gridCol w:w="1845"/>
        <w:gridCol w:w="2145"/>
        <w:tblGridChange w:id="0">
          <w:tblGrid>
            <w:gridCol w:w="3645"/>
            <w:gridCol w:w="2025"/>
            <w:gridCol w:w="1845"/>
            <w:gridCol w:w="2145"/>
          </w:tblGrid>
        </w:tblGridChange>
      </w:tblGrid>
      <w:tr>
        <w:trPr>
          <w:cantSplit w:val="0"/>
          <w:tblHeader w:val="0"/>
        </w:trPr>
        <w:tc>
          <w:tcPr>
            <w:shd w:fill="f2f2f2" w:val="clear"/>
            <w:tcMar>
              <w:top w:w="43.0" w:type="dxa"/>
              <w:left w:w="43.0" w:type="dxa"/>
              <w:bottom w:w="43.0" w:type="dxa"/>
              <w:right w:w="43.0" w:type="dxa"/>
            </w:tcMar>
            <w:vAlign w:val="center"/>
          </w:tcPr>
          <w:p w:rsidR="00000000" w:rsidDel="00000000" w:rsidP="00000000" w:rsidRDefault="00000000" w:rsidRPr="00000000" w14:paraId="0000004E">
            <w:pPr>
              <w:rPr>
                <w:b w:val="1"/>
                <w:bCs w:val="1"/>
              </w:rPr>
            </w:pPr>
            <w:r w:rsidDel="00000000" w:rsidR="00000000" w:rsidRPr="00000000">
              <w:rPr>
                <w:b w:val="1"/>
                <w:bCs w:val="1"/>
                <w:rtl w:val="0"/>
              </w:rPr>
              <w:t xml:space="preserve">Portfolio price</w:t>
            </w:r>
          </w:p>
        </w:tc>
        <w:tc>
          <w:tcPr>
            <w:shd w:fill="f2f2f2" w:val="clear"/>
            <w:tcMar>
              <w:top w:w="43.0" w:type="dxa"/>
              <w:left w:w="43.0" w:type="dxa"/>
              <w:bottom w:w="43.0" w:type="dxa"/>
              <w:right w:w="43.0" w:type="dxa"/>
            </w:tcMar>
            <w:vAlign w:val="center"/>
          </w:tcPr>
          <w:p w:rsidR="00000000" w:rsidDel="00000000" w:rsidP="00000000" w:rsidRDefault="00000000" w:rsidRPr="00000000" w14:paraId="0000004F">
            <w:pPr>
              <w:jc w:val="center"/>
              <w:rPr>
                <w:b w:val="1"/>
                <w:bCs w:val="1"/>
              </w:rPr>
            </w:pPr>
            <w:r w:rsidDel="00000000" w:rsidR="00000000" w:rsidRPr="00000000">
              <w:rPr>
                <w:b w:val="1"/>
                <w:bCs w:val="1"/>
                <w:rtl w:val="0"/>
              </w:rPr>
              <w:t xml:space="preserve">Standard fee*</w:t>
            </w:r>
          </w:p>
        </w:tc>
        <w:tc>
          <w:tcPr>
            <w:shd w:fill="f2f2f2" w:val="clear"/>
            <w:tcMar>
              <w:top w:w="43.0" w:type="dxa"/>
              <w:left w:w="43.0" w:type="dxa"/>
              <w:bottom w:w="43.0" w:type="dxa"/>
              <w:right w:w="43.0" w:type="dxa"/>
            </w:tcMar>
            <w:vAlign w:val="center"/>
          </w:tcPr>
          <w:p w:rsidR="00000000" w:rsidDel="00000000" w:rsidP="00000000" w:rsidRDefault="00000000" w:rsidRPr="00000000" w14:paraId="00000050">
            <w:pPr>
              <w:jc w:val="center"/>
              <w:rPr>
                <w:b w:val="1"/>
                <w:bCs w:val="1"/>
              </w:rPr>
            </w:pPr>
            <w:r w:rsidDel="00000000" w:rsidR="00000000" w:rsidRPr="00000000">
              <w:rPr>
                <w:b w:val="1"/>
                <w:bCs w:val="1"/>
                <w:rtl w:val="0"/>
              </w:rPr>
              <w:t xml:space="preserve">Premium fee**</w:t>
            </w:r>
          </w:p>
        </w:tc>
        <w:tc>
          <w:tcPr>
            <w:shd w:fill="f2f2f2" w:val="clear"/>
            <w:tcMar>
              <w:top w:w="43.0" w:type="dxa"/>
              <w:left w:w="43.0" w:type="dxa"/>
              <w:bottom w:w="43.0" w:type="dxa"/>
              <w:right w:w="43.0" w:type="dxa"/>
            </w:tcMar>
            <w:vAlign w:val="center"/>
          </w:tcPr>
          <w:p w:rsidR="00000000" w:rsidDel="00000000" w:rsidP="00000000" w:rsidRDefault="00000000" w:rsidRPr="00000000" w14:paraId="00000051">
            <w:pPr>
              <w:jc w:val="center"/>
              <w:rPr>
                <w:b w:val="1"/>
                <w:bCs w:val="1"/>
              </w:rPr>
            </w:pPr>
            <w:r w:rsidDel="00000000" w:rsidR="00000000" w:rsidRPr="00000000">
              <w:rPr>
                <w:b w:val="1"/>
                <w:bCs w:val="1"/>
                <w:rtl w:val="0"/>
              </w:rPr>
              <w:t xml:space="preserve">Placement fee***</w:t>
            </w:r>
          </w:p>
        </w:tc>
      </w:tr>
      <w:tr>
        <w:trPr>
          <w:cantSplit w:val="0"/>
          <w:tblHeader w:val="0"/>
        </w:trPr>
        <w:tc>
          <w:tcPr>
            <w:tcMar>
              <w:top w:w="43.0" w:type="dxa"/>
              <w:left w:w="43.0" w:type="dxa"/>
              <w:bottom w:w="43.0" w:type="dxa"/>
              <w:right w:w="43.0" w:type="dxa"/>
            </w:tcMar>
            <w:vAlign w:val="center"/>
          </w:tcPr>
          <w:p w:rsidR="00000000" w:rsidDel="00000000" w:rsidP="00000000" w:rsidRDefault="00000000" w:rsidRPr="00000000" w14:paraId="00000052">
            <w:pPr>
              <w:rPr/>
            </w:pPr>
            <w:r w:rsidDel="00000000" w:rsidR="00000000" w:rsidRPr="00000000">
              <w:rPr>
                <w:rtl w:val="0"/>
              </w:rPr>
              <w:t xml:space="preserve">Up to 150.000 EUR</w:t>
            </w:r>
          </w:p>
        </w:tc>
        <w:tc>
          <w:tcPr>
            <w:tcMar>
              <w:top w:w="43.0" w:type="dxa"/>
              <w:left w:w="43.0" w:type="dxa"/>
              <w:bottom w:w="43.0" w:type="dxa"/>
              <w:right w:w="43.0" w:type="dxa"/>
            </w:tcMar>
            <w:vAlign w:val="center"/>
          </w:tcPr>
          <w:p w:rsidR="00000000" w:rsidDel="00000000" w:rsidP="00000000" w:rsidRDefault="00000000" w:rsidRPr="00000000" w14:paraId="00000053">
            <w:pPr>
              <w:jc w:val="center"/>
              <w:rPr/>
            </w:pPr>
            <w:r w:rsidDel="00000000" w:rsidR="00000000" w:rsidRPr="00000000">
              <w:rPr>
                <w:rtl w:val="0"/>
              </w:rPr>
              <w:t xml:space="preserve">5%</w:t>
            </w:r>
          </w:p>
        </w:tc>
        <w:tc>
          <w:tcPr>
            <w:tcMar>
              <w:top w:w="43.0" w:type="dxa"/>
              <w:left w:w="43.0" w:type="dxa"/>
              <w:bottom w:w="43.0" w:type="dxa"/>
              <w:right w:w="43.0" w:type="dxa"/>
            </w:tcMar>
            <w:vAlign w:val="center"/>
          </w:tcPr>
          <w:p w:rsidR="00000000" w:rsidDel="00000000" w:rsidP="00000000" w:rsidRDefault="00000000" w:rsidRPr="00000000" w14:paraId="00000054">
            <w:pPr>
              <w:jc w:val="center"/>
              <w:rPr/>
            </w:pPr>
            <w:r w:rsidDel="00000000" w:rsidR="00000000" w:rsidRPr="00000000">
              <w:rPr>
                <w:rtl w:val="0"/>
              </w:rPr>
              <w:t xml:space="preserve">10%</w:t>
            </w:r>
          </w:p>
        </w:tc>
        <w:tc>
          <w:tcPr>
            <w:tcMar>
              <w:top w:w="43.0" w:type="dxa"/>
              <w:left w:w="43.0" w:type="dxa"/>
              <w:bottom w:w="43.0" w:type="dxa"/>
              <w:right w:w="43.0" w:type="dxa"/>
            </w:tcMar>
            <w:vAlign w:val="center"/>
          </w:tcPr>
          <w:p w:rsidR="00000000" w:rsidDel="00000000" w:rsidP="00000000" w:rsidRDefault="00000000" w:rsidRPr="00000000" w14:paraId="00000055">
            <w:pPr>
              <w:jc w:val="center"/>
              <w:rPr/>
            </w:pPr>
            <w:r w:rsidDel="00000000" w:rsidR="00000000" w:rsidRPr="00000000">
              <w:rPr>
                <w:rtl w:val="0"/>
              </w:rPr>
              <w:t xml:space="preserve">500 EUR</w:t>
            </w:r>
          </w:p>
        </w:tc>
      </w:tr>
      <w:tr>
        <w:trPr>
          <w:cantSplit w:val="0"/>
          <w:tblHeader w:val="0"/>
        </w:trPr>
        <w:tc>
          <w:tcPr>
            <w:tcMar>
              <w:top w:w="43.0" w:type="dxa"/>
              <w:left w:w="43.0" w:type="dxa"/>
              <w:bottom w:w="43.0" w:type="dxa"/>
              <w:right w:w="43.0" w:type="dxa"/>
            </w:tcMar>
            <w:vAlign w:val="center"/>
          </w:tcPr>
          <w:p w:rsidR="00000000" w:rsidDel="00000000" w:rsidP="00000000" w:rsidRDefault="00000000" w:rsidRPr="00000000" w14:paraId="00000056">
            <w:pPr>
              <w:rPr/>
            </w:pPr>
            <w:r w:rsidDel="00000000" w:rsidR="00000000" w:rsidRPr="00000000">
              <w:rPr>
                <w:rtl w:val="0"/>
              </w:rPr>
              <w:t xml:space="preserve">From 150.001 EUR to 1.000.000 EUR</w:t>
            </w:r>
          </w:p>
        </w:tc>
        <w:tc>
          <w:tcPr>
            <w:tcMar>
              <w:top w:w="43.0" w:type="dxa"/>
              <w:left w:w="43.0" w:type="dxa"/>
              <w:bottom w:w="43.0" w:type="dxa"/>
              <w:right w:w="43.0" w:type="dxa"/>
            </w:tcMar>
            <w:vAlign w:val="center"/>
          </w:tcPr>
          <w:p w:rsidR="00000000" w:rsidDel="00000000" w:rsidP="00000000" w:rsidRDefault="00000000" w:rsidRPr="00000000" w14:paraId="00000057">
            <w:pPr>
              <w:jc w:val="center"/>
              <w:rPr/>
            </w:pPr>
            <w:r w:rsidDel="00000000" w:rsidR="00000000" w:rsidRPr="00000000">
              <w:rPr>
                <w:rtl w:val="0"/>
              </w:rPr>
              <w:t xml:space="preserve">3.5%</w:t>
            </w:r>
          </w:p>
        </w:tc>
        <w:tc>
          <w:tcPr>
            <w:tcMar>
              <w:top w:w="43.0" w:type="dxa"/>
              <w:left w:w="43.0" w:type="dxa"/>
              <w:bottom w:w="43.0" w:type="dxa"/>
              <w:right w:w="43.0" w:type="dxa"/>
            </w:tcMar>
            <w:vAlign w:val="center"/>
          </w:tcPr>
          <w:p w:rsidR="00000000" w:rsidDel="00000000" w:rsidP="00000000" w:rsidRDefault="00000000" w:rsidRPr="00000000" w14:paraId="00000058">
            <w:pPr>
              <w:jc w:val="center"/>
              <w:rPr/>
            </w:pPr>
            <w:r w:rsidDel="00000000" w:rsidR="00000000" w:rsidRPr="00000000">
              <w:rPr>
                <w:rtl w:val="0"/>
              </w:rPr>
              <w:t xml:space="preserve">10%</w:t>
            </w:r>
          </w:p>
        </w:tc>
        <w:tc>
          <w:tcPr>
            <w:tcMar>
              <w:top w:w="43.0" w:type="dxa"/>
              <w:left w:w="43.0" w:type="dxa"/>
              <w:bottom w:w="43.0" w:type="dxa"/>
              <w:right w:w="43.0" w:type="dxa"/>
            </w:tcMar>
            <w:vAlign w:val="center"/>
          </w:tcPr>
          <w:p w:rsidR="00000000" w:rsidDel="00000000" w:rsidP="00000000" w:rsidRDefault="00000000" w:rsidRPr="00000000" w14:paraId="00000059">
            <w:pPr>
              <w:jc w:val="center"/>
              <w:rPr/>
            </w:pPr>
            <w:r w:rsidDel="00000000" w:rsidR="00000000" w:rsidRPr="00000000">
              <w:rPr>
                <w:rtl w:val="0"/>
              </w:rPr>
              <w:t xml:space="preserve">500 EUR</w:t>
            </w:r>
          </w:p>
        </w:tc>
      </w:tr>
      <w:tr>
        <w:trPr>
          <w:cantSplit w:val="0"/>
          <w:tblHeader w:val="0"/>
        </w:trPr>
        <w:tc>
          <w:tcPr>
            <w:tcMar>
              <w:top w:w="43.0" w:type="dxa"/>
              <w:left w:w="43.0" w:type="dxa"/>
              <w:bottom w:w="43.0" w:type="dxa"/>
              <w:right w:w="43.0" w:type="dxa"/>
            </w:tcMar>
            <w:vAlign w:val="center"/>
          </w:tcPr>
          <w:p w:rsidR="00000000" w:rsidDel="00000000" w:rsidP="00000000" w:rsidRDefault="00000000" w:rsidRPr="00000000" w14:paraId="0000005A">
            <w:pPr>
              <w:rPr/>
            </w:pPr>
            <w:r w:rsidDel="00000000" w:rsidR="00000000" w:rsidRPr="00000000">
              <w:rPr>
                <w:rtl w:val="0"/>
              </w:rPr>
              <w:t xml:space="preserve">From 1.000.001 EUR to 5.000.000 EUR</w:t>
            </w:r>
          </w:p>
        </w:tc>
        <w:tc>
          <w:tcPr>
            <w:tcMar>
              <w:top w:w="43.0" w:type="dxa"/>
              <w:left w:w="43.0" w:type="dxa"/>
              <w:bottom w:w="43.0" w:type="dxa"/>
              <w:right w:w="43.0" w:type="dxa"/>
            </w:tcMar>
            <w:vAlign w:val="center"/>
          </w:tcPr>
          <w:p w:rsidR="00000000" w:rsidDel="00000000" w:rsidP="00000000" w:rsidRDefault="00000000" w:rsidRPr="00000000" w14:paraId="0000005B">
            <w:pPr>
              <w:jc w:val="center"/>
              <w:rPr/>
            </w:pPr>
            <w:r w:rsidDel="00000000" w:rsidR="00000000" w:rsidRPr="00000000">
              <w:rPr>
                <w:rtl w:val="0"/>
              </w:rPr>
              <w:t xml:space="preserve">2%</w:t>
            </w:r>
          </w:p>
        </w:tc>
        <w:tc>
          <w:tcPr>
            <w:tcMar>
              <w:top w:w="43.0" w:type="dxa"/>
              <w:left w:w="43.0" w:type="dxa"/>
              <w:bottom w:w="43.0" w:type="dxa"/>
              <w:right w:w="43.0" w:type="dxa"/>
            </w:tcMar>
            <w:vAlign w:val="center"/>
          </w:tcPr>
          <w:p w:rsidR="00000000" w:rsidDel="00000000" w:rsidP="00000000" w:rsidRDefault="00000000" w:rsidRPr="00000000" w14:paraId="0000005C">
            <w:pPr>
              <w:jc w:val="center"/>
              <w:rPr/>
            </w:pPr>
            <w:r w:rsidDel="00000000" w:rsidR="00000000" w:rsidRPr="00000000">
              <w:rPr>
                <w:rtl w:val="0"/>
              </w:rPr>
              <w:t xml:space="preserve">10%</w:t>
            </w:r>
          </w:p>
        </w:tc>
        <w:tc>
          <w:tcPr>
            <w:tcMar>
              <w:top w:w="43.0" w:type="dxa"/>
              <w:left w:w="43.0" w:type="dxa"/>
              <w:bottom w:w="43.0" w:type="dxa"/>
              <w:right w:w="43.0" w:type="dxa"/>
            </w:tcMar>
            <w:vAlign w:val="center"/>
          </w:tcPr>
          <w:p w:rsidR="00000000" w:rsidDel="00000000" w:rsidP="00000000" w:rsidRDefault="00000000" w:rsidRPr="00000000" w14:paraId="0000005D">
            <w:pPr>
              <w:jc w:val="center"/>
              <w:rPr/>
            </w:pPr>
            <w:r w:rsidDel="00000000" w:rsidR="00000000" w:rsidRPr="00000000">
              <w:rPr>
                <w:rtl w:val="0"/>
              </w:rPr>
              <w:t xml:space="preserve">500 EUR</w:t>
            </w:r>
          </w:p>
        </w:tc>
      </w:tr>
      <w:tr>
        <w:trPr>
          <w:cantSplit w:val="0"/>
          <w:tblHeader w:val="0"/>
        </w:trPr>
        <w:tc>
          <w:tcPr>
            <w:tcMar>
              <w:top w:w="43.0" w:type="dxa"/>
              <w:left w:w="43.0" w:type="dxa"/>
              <w:bottom w:w="43.0" w:type="dxa"/>
              <w:right w:w="43.0" w:type="dxa"/>
            </w:tcMar>
            <w:vAlign w:val="center"/>
          </w:tcPr>
          <w:p w:rsidR="00000000" w:rsidDel="00000000" w:rsidP="00000000" w:rsidRDefault="00000000" w:rsidRPr="00000000" w14:paraId="0000005E">
            <w:pPr>
              <w:rPr/>
            </w:pPr>
            <w:r w:rsidDel="00000000" w:rsidR="00000000" w:rsidRPr="00000000">
              <w:rPr>
                <w:rtl w:val="0"/>
              </w:rPr>
              <w:t xml:space="preserve">From 5.000.001 EUR to 10.000.000 EUR</w:t>
            </w:r>
          </w:p>
        </w:tc>
        <w:tc>
          <w:tcPr>
            <w:tcMar>
              <w:top w:w="43.0" w:type="dxa"/>
              <w:left w:w="43.0" w:type="dxa"/>
              <w:bottom w:w="43.0" w:type="dxa"/>
              <w:right w:w="43.0" w:type="dxa"/>
            </w:tcMar>
            <w:vAlign w:val="center"/>
          </w:tcPr>
          <w:p w:rsidR="00000000" w:rsidDel="00000000" w:rsidP="00000000" w:rsidRDefault="00000000" w:rsidRPr="00000000" w14:paraId="0000005F">
            <w:pPr>
              <w:jc w:val="center"/>
              <w:rPr/>
            </w:pPr>
            <w:r w:rsidDel="00000000" w:rsidR="00000000" w:rsidRPr="00000000">
              <w:rPr>
                <w:rtl w:val="0"/>
              </w:rPr>
              <w:t xml:space="preserve">1.5%</w:t>
            </w:r>
          </w:p>
        </w:tc>
        <w:tc>
          <w:tcPr>
            <w:tcMar>
              <w:top w:w="43.0" w:type="dxa"/>
              <w:left w:w="43.0" w:type="dxa"/>
              <w:bottom w:w="43.0" w:type="dxa"/>
              <w:right w:w="43.0" w:type="dxa"/>
            </w:tcMar>
            <w:vAlign w:val="center"/>
          </w:tcPr>
          <w:p w:rsidR="00000000" w:rsidDel="00000000" w:rsidP="00000000" w:rsidRDefault="00000000" w:rsidRPr="00000000" w14:paraId="00000060">
            <w:pPr>
              <w:jc w:val="center"/>
              <w:rPr/>
            </w:pPr>
            <w:r w:rsidDel="00000000" w:rsidR="00000000" w:rsidRPr="00000000">
              <w:rPr>
                <w:rtl w:val="0"/>
              </w:rPr>
              <w:t xml:space="preserve">10%</w:t>
            </w:r>
          </w:p>
        </w:tc>
        <w:tc>
          <w:tcPr>
            <w:tcMar>
              <w:top w:w="43.0" w:type="dxa"/>
              <w:left w:w="43.0" w:type="dxa"/>
              <w:bottom w:w="43.0" w:type="dxa"/>
              <w:right w:w="43.0" w:type="dxa"/>
            </w:tcMar>
            <w:vAlign w:val="center"/>
          </w:tcPr>
          <w:p w:rsidR="00000000" w:rsidDel="00000000" w:rsidP="00000000" w:rsidRDefault="00000000" w:rsidRPr="00000000" w14:paraId="00000061">
            <w:pPr>
              <w:jc w:val="center"/>
              <w:rPr/>
            </w:pPr>
            <w:r w:rsidDel="00000000" w:rsidR="00000000" w:rsidRPr="00000000">
              <w:rPr>
                <w:rtl w:val="0"/>
              </w:rPr>
              <w:t xml:space="preserve">500 EUR</w:t>
            </w:r>
          </w:p>
        </w:tc>
      </w:tr>
      <w:tr>
        <w:trPr>
          <w:cantSplit w:val="0"/>
          <w:tblHeader w:val="0"/>
        </w:trPr>
        <w:tc>
          <w:tcPr>
            <w:tcMar>
              <w:top w:w="43.0" w:type="dxa"/>
              <w:left w:w="43.0" w:type="dxa"/>
              <w:bottom w:w="43.0" w:type="dxa"/>
              <w:right w:w="43.0" w:type="dxa"/>
            </w:tcMar>
            <w:vAlign w:val="center"/>
          </w:tcPr>
          <w:p w:rsidR="00000000" w:rsidDel="00000000" w:rsidP="00000000" w:rsidRDefault="00000000" w:rsidRPr="00000000" w14:paraId="00000062">
            <w:pPr>
              <w:rPr/>
            </w:pPr>
            <w:r w:rsidDel="00000000" w:rsidR="00000000" w:rsidRPr="00000000">
              <w:rPr>
                <w:rtl w:val="0"/>
              </w:rPr>
              <w:t xml:space="preserve">Above 10.000.000 EUR</w:t>
            </w:r>
          </w:p>
        </w:tc>
        <w:tc>
          <w:tcPr>
            <w:tcMar>
              <w:top w:w="43.0" w:type="dxa"/>
              <w:left w:w="43.0" w:type="dxa"/>
              <w:bottom w:w="43.0" w:type="dxa"/>
              <w:right w:w="43.0" w:type="dxa"/>
            </w:tcMar>
            <w:vAlign w:val="center"/>
          </w:tcPr>
          <w:p w:rsidR="00000000" w:rsidDel="00000000" w:rsidP="00000000" w:rsidRDefault="00000000" w:rsidRPr="00000000" w14:paraId="00000063">
            <w:pPr>
              <w:jc w:val="center"/>
              <w:rPr/>
            </w:pPr>
            <w:r w:rsidDel="00000000" w:rsidR="00000000" w:rsidRPr="00000000">
              <w:rPr>
                <w:rtl w:val="0"/>
              </w:rPr>
              <w:t xml:space="preserve">150.000 EUR</w:t>
            </w:r>
          </w:p>
        </w:tc>
        <w:tc>
          <w:tcPr>
            <w:tcMar>
              <w:top w:w="43.0" w:type="dxa"/>
              <w:left w:w="43.0" w:type="dxa"/>
              <w:bottom w:w="43.0" w:type="dxa"/>
              <w:right w:w="43.0" w:type="dxa"/>
            </w:tcMar>
            <w:vAlign w:val="center"/>
          </w:tcPr>
          <w:p w:rsidR="00000000" w:rsidDel="00000000" w:rsidP="00000000" w:rsidRDefault="00000000" w:rsidRPr="00000000" w14:paraId="00000064">
            <w:pPr>
              <w:jc w:val="center"/>
              <w:rPr/>
            </w:pPr>
            <w:r w:rsidDel="00000000" w:rsidR="00000000" w:rsidRPr="00000000">
              <w:rPr>
                <w:rtl w:val="0"/>
              </w:rPr>
              <w:t xml:space="preserve">10%</w:t>
            </w:r>
          </w:p>
        </w:tc>
        <w:tc>
          <w:tcPr>
            <w:tcMar>
              <w:top w:w="43.0" w:type="dxa"/>
              <w:left w:w="43.0" w:type="dxa"/>
              <w:bottom w:w="43.0" w:type="dxa"/>
              <w:right w:w="43.0" w:type="dxa"/>
            </w:tcMar>
            <w:vAlign w:val="center"/>
          </w:tcPr>
          <w:p w:rsidR="00000000" w:rsidDel="00000000" w:rsidP="00000000" w:rsidRDefault="00000000" w:rsidRPr="00000000" w14:paraId="00000065">
            <w:pPr>
              <w:jc w:val="center"/>
              <w:rPr/>
            </w:pPr>
            <w:r w:rsidDel="00000000" w:rsidR="00000000" w:rsidRPr="00000000">
              <w:rPr>
                <w:rtl w:val="0"/>
              </w:rPr>
              <w:t xml:space="preserve">500 EUR</w:t>
            </w:r>
          </w:p>
        </w:tc>
      </w:tr>
    </w:tbl>
    <w:p w:rsidR="00000000" w:rsidDel="00000000" w:rsidP="00000000" w:rsidRDefault="00000000" w:rsidRPr="00000000" w14:paraId="00000066">
      <w:pP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7">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*Standard fee</w:t>
      </w:r>
      <w:r w:rsidDel="00000000" w:rsidR="00000000" w:rsidRPr="00000000">
        <w:rPr>
          <w:rFonts w:ascii="Times New Roman" w:cs="Times New Roman" w:eastAsia="Times New Roman" w:hAnsi="Times New Roman"/>
          <w:sz w:val="20"/>
          <w:szCs w:val="20"/>
          <w:rtl w:val="0"/>
        </w:rPr>
        <w:t xml:space="preserve"> - fee paid to BidFinance, calculated as a % of the portfolio Final Price. During the auction configuration the Seller indicates who – Seller or Buyer – will be obligated to pay Commission to the Service Provider.</w:t>
      </w:r>
    </w:p>
    <w:p w:rsidR="00000000" w:rsidDel="00000000" w:rsidP="00000000" w:rsidRDefault="00000000" w:rsidRPr="00000000" w14:paraId="00000068">
      <w:pPr>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**Premium fee</w:t>
      </w:r>
      <w:r w:rsidDel="00000000" w:rsidR="00000000" w:rsidRPr="00000000">
        <w:rPr>
          <w:rFonts w:ascii="Times New Roman" w:cs="Times New Roman" w:eastAsia="Times New Roman" w:hAnsi="Times New Roman"/>
          <w:sz w:val="20"/>
          <w:szCs w:val="20"/>
          <w:rtl w:val="0"/>
        </w:rPr>
        <w:t xml:space="preserve"> - fee paid to BidFinance by the Seller, calculated as a % of the difference between the Guaranteed Sales Price and the Final Price.</w:t>
      </w:r>
    </w:p>
    <w:p w:rsidR="00000000" w:rsidDel="00000000" w:rsidP="00000000" w:rsidRDefault="00000000" w:rsidRPr="00000000" w14:paraId="00000069">
      <w:pPr>
        <w:jc w:val="both"/>
        <w:rPr>
          <w:rFonts w:ascii="Times New Roman" w:cs="Times New Roman" w:eastAsia="Times New Roman" w:hAnsi="Times New Roman"/>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***Placement fee</w:t>
      </w:r>
      <w:r w:rsidDel="00000000" w:rsidR="00000000" w:rsidRPr="00000000">
        <w:rPr>
          <w:rFonts w:ascii="Times New Roman" w:cs="Times New Roman" w:eastAsia="Times New Roman" w:hAnsi="Times New Roman"/>
          <w:sz w:val="20"/>
          <w:szCs w:val="20"/>
          <w:rtl w:val="0"/>
        </w:rPr>
        <w:t xml:space="preserve"> - a fixed fee paid to BidFinance by the Seller for the placement of the debt portfolio on the Platform. The Placement fee is not charged if no bids are submitted during the auction or if the Seller proceeds with the sale of the portfolio as a result of the auction, even if the Guaranteed Sale Price was not reached.</w:t>
      </w: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rPr>
          <w:rFonts w:ascii="Times New Roman" w:cs="Times New Roman" w:eastAsia="Times New Roman" w:hAnsi="Times New Roman"/>
          <w:b w:val="1"/>
          <w:bCs w:val="1"/>
          <w:sz w:val="20"/>
          <w:szCs w:val="20"/>
        </w:rPr>
      </w:pPr>
      <w:r w:rsidDel="00000000" w:rsidR="00000000" w:rsidRPr="00000000">
        <w:rPr>
          <w:rtl w:val="0"/>
        </w:rPr>
      </w:r>
    </w:p>
    <w:tbl>
      <w:tblPr>
        <w:tblStyle w:val="Table4"/>
        <w:tblW w:w="9631.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631"/>
        <w:tblGridChange w:id="0">
          <w:tblGrid>
            <w:gridCol w:w="9631"/>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________________________________________________________________________________</w:t>
            </w:r>
          </w:p>
        </w:tc>
      </w:tr>
      <w:tr>
        <w:trPr>
          <w:cantSplit w:val="0"/>
          <w:trHeight w:val="451" w:hRule="atLeast"/>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tcPr>
          <w:p w:rsidR="00000000" w:rsidDel="00000000" w:rsidP="00000000" w:rsidRDefault="00000000" w:rsidRPr="00000000" w14:paraId="0000006E">
            <w:pPr>
              <w:spacing w:line="240"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Signature of the person(s) authorized to represent the Participant</w:t>
            </w:r>
          </w:p>
        </w:tc>
      </w:tr>
    </w:tbl>
    <w:p w:rsidR="00000000" w:rsidDel="00000000" w:rsidP="00000000" w:rsidRDefault="00000000" w:rsidRPr="00000000" w14:paraId="0000006F">
      <w:pPr>
        <w:rPr>
          <w:rFonts w:ascii="Times New Roman" w:cs="Times New Roman" w:eastAsia="Times New Roman" w:hAnsi="Times New Roman"/>
          <w:b w:val="1"/>
          <w:bCs w:val="1"/>
          <w:sz w:val="20"/>
          <w:szCs w:val="20"/>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3" w:top="923" w:left="1275" w:right="10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jc w:val="cente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b w:val="1"/>
        <w:bCs w:val="1"/>
      </w:rPr>
      <mc:AlternateContent>
        <mc:Choice Requires="wpg">
          <w:drawing>
            <wp:inline distB="114300" distT="114300" distL="114300" distR="114300">
              <wp:extent cx="2066925" cy="38100"/>
              <wp:effectExtent b="0" l="0" r="0" t="0"/>
              <wp:docPr id="1" name=""/>
              <a:graphic>
                <a:graphicData uri="http://schemas.microsoft.com/office/word/2010/wordprocessingShape">
                  <wps:wsp>
                    <wps:cNvCnPr/>
                    <wps:spPr>
                      <a:xfrm>
                        <a:off x="4330650" y="3780000"/>
                        <a:ext cx="2030700" cy="0"/>
                      </a:xfrm>
                      <a:prstGeom prst="straightConnector1">
                        <a:avLst/>
                      </a:prstGeom>
                      <a:noFill/>
                      <a:ln cap="flat" cmpd="sng" w="9525">
                        <a:solidFill>
                          <a:srgbClr val="EFEFEF"/>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114300" distT="114300" distL="114300" distR="114300">
              <wp:extent cx="2066925" cy="38100"/>
              <wp:effectExtent b="0" l="0" r="0" t="0"/>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2066925" cy="3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78">
    <w:pPr>
      <w:ind w:left="708" w:firstLine="0"/>
      <w:rPr>
        <w:rFonts w:ascii="Times New Roman" w:cs="Times New Roman" w:eastAsia="Times New Roman" w:hAnsi="Times New Roman"/>
        <w:color w:val="b7b7b7"/>
        <w:sz w:val="16"/>
        <w:szCs w:val="16"/>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BidFinance LLC</w:t>
    </w:r>
  </w:p>
  <w:p w:rsidR="00000000" w:rsidDel="00000000" w:rsidP="00000000" w:rsidRDefault="00000000" w:rsidRPr="00000000" w14:paraId="0000007A">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Kącik 4 Street, 30-549 Kraków</w:t>
    </w:r>
  </w:p>
  <w:p w:rsidR="00000000" w:rsidDel="00000000" w:rsidP="00000000" w:rsidRDefault="00000000" w:rsidRPr="00000000" w14:paraId="0000007B">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KRS: 0000975000</w:t>
    </w:r>
  </w:p>
  <w:p w:rsidR="00000000" w:rsidDel="00000000" w:rsidP="00000000" w:rsidRDefault="00000000" w:rsidRPr="00000000" w14:paraId="0000007C">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NIP: 6793240675</w:t>
    </w:r>
  </w:p>
  <w:p w:rsidR="00000000" w:rsidDel="00000000" w:rsidP="00000000" w:rsidRDefault="00000000" w:rsidRPr="00000000" w14:paraId="0000007D">
    <w:pPr>
      <w:rPr>
        <w:rFonts w:ascii="Times New Roman" w:cs="Times New Roman" w:eastAsia="Times New Roman" w:hAnsi="Times New Roman"/>
        <w:color w:val="b7b7b7"/>
        <w:sz w:val="16"/>
        <w:szCs w:val="16"/>
      </w:rPr>
    </w:pPr>
    <w:r w:rsidDel="00000000" w:rsidR="00000000" w:rsidRPr="00000000">
      <w:rPr>
        <w:rFonts w:ascii="Times New Roman" w:cs="Times New Roman" w:eastAsia="Times New Roman" w:hAnsi="Times New Roman"/>
        <w:color w:val="b7b7b7"/>
        <w:sz w:val="16"/>
        <w:szCs w:val="16"/>
        <w:rtl w:val="0"/>
      </w:rPr>
      <w:t xml:space="preserve">REGON: 522206447</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447120" cy="300038"/>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447120" cy="300038"/>
                  </a:xfrm>
                  <a:prstGeom prst="rect"/>
                  <a:ln/>
                </pic:spPr>
              </pic:pic>
            </a:graphicData>
          </a:graphic>
        </wp:anchor>
      </w:drawing>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Pr>
  </w:style>
  <w:style w:type="table" w:styleId="Table3">
    <w:basedOn w:val="TableNormal"/>
    <w:pPr>
      <w:spacing w:line="240" w:lineRule="auto"/>
    </w:pPr>
    <w:rPr>
      <w:rFonts w:ascii="Times New Roman" w:cs="Times New Roman" w:eastAsia="Times New Roman" w:hAnsi="Times New Roman"/>
      <w:sz w:val="20"/>
      <w:szCs w:val="20"/>
    </w:rPr>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hyperlink" Target="http://www.bidfinance.eu/documents" TargetMode="External"/><Relationship Id="rId7" Type="http://schemas.openxmlformats.org/officeDocument/2006/relationships/hyperlink" Target="https://www.bidfinance.eu/en/documentation" TargetMode="External"/><Relationship Id="rId8"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0x0101007CC62191D828F44587002516D205B0DB</vt:lpwstr>
  </property>
  <property fmtid="{D5CDD505-2E9C-101B-9397-08002B2CF9AE}" pid="3" name="MediaServiceImageTags">
    <vt:lpwstr>MediaServiceImageTags</vt:lpwstr>
  </property>
</Properties>
</file>