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1843"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heading=h.m7pj06gxep1z" w:id="0"/>
      <w:bookmarkEnd w:id="0"/>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AZ EGRI BORVIDÉK HEGYKÖZSÉGI TANÁCSÁNAK</w:t>
      </w:r>
      <w:r w:rsidDel="00000000" w:rsidR="00000000" w:rsidRPr="00000000">
        <w:drawing>
          <wp:anchor allowOverlap="1" behindDoc="0" distB="0" distT="0" distL="114300" distR="114300" hidden="0" layoutInCell="1" locked="0" relativeHeight="0" simplePos="0">
            <wp:simplePos x="0" y="0"/>
            <wp:positionH relativeFrom="column">
              <wp:posOffset>-634</wp:posOffset>
            </wp:positionH>
            <wp:positionV relativeFrom="paragraph">
              <wp:posOffset>-6349</wp:posOffset>
            </wp:positionV>
            <wp:extent cx="1148080" cy="1148080"/>
            <wp:effectExtent b="0" l="0" r="0" t="0"/>
            <wp:wrapNone/>
            <wp:docPr descr="Bika logo2" id="1" name="image1.jpg"/>
            <a:graphic>
              <a:graphicData uri="http://schemas.openxmlformats.org/drawingml/2006/picture">
                <pic:pic>
                  <pic:nvPicPr>
                    <pic:cNvPr descr="Bika logo2" id="0" name="image1.jpg"/>
                    <pic:cNvPicPr preferRelativeResize="0"/>
                  </pic:nvPicPr>
                  <pic:blipFill>
                    <a:blip r:embed="rId7"/>
                    <a:srcRect b="0" l="0" r="0" t="0"/>
                    <a:stretch>
                      <a:fillRect/>
                    </a:stretch>
                  </pic:blipFill>
                  <pic:spPr>
                    <a:xfrm>
                      <a:off x="0" y="0"/>
                      <a:ext cx="1148080" cy="1148080"/>
                    </a:xfrm>
                    <a:prstGeom prst="rect"/>
                    <a:ln/>
                  </pic:spPr>
                </pic:pic>
              </a:graphicData>
            </a:graphic>
          </wp:anchor>
        </w:drawing>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1843"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RENDTARTÁSA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4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Egri Borvidék Hegyközségi Tanácsa (a továbbiakban: EBHT) a borvidéken működő hegyközségek tevékenységének harmonizálására, valamint az eljárási szabályok közzététele céljából az alábbi rendtartást hozta meg. A borvidéki rendtartás az Egri borvidék borszőlő termőhelyi kataszterbe sorolt területre kiterjedő hatállyal érvényes.</w:t>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Az Egri borvidék hegyközségei:</w:t>
      </w:r>
    </w:p>
    <w:p w:rsidR="00000000" w:rsidDel="00000000" w:rsidP="00000000" w:rsidRDefault="00000000" w:rsidRPr="00000000" w14:paraId="000000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Debrői Hárs Hegyközség</w:t>
      </w:r>
    </w:p>
    <w:p w:rsidR="00000000" w:rsidDel="00000000" w:rsidP="00000000" w:rsidRDefault="00000000" w:rsidRPr="00000000" w14:paraId="0000000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Demjén Hegyközség</w:t>
      </w:r>
    </w:p>
    <w:p w:rsidR="00000000" w:rsidDel="00000000" w:rsidP="00000000" w:rsidRDefault="00000000" w:rsidRPr="00000000" w14:paraId="0000000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Eger Város Hegyközsége</w:t>
      </w:r>
    </w:p>
    <w:p w:rsidR="00000000" w:rsidDel="00000000" w:rsidP="00000000" w:rsidRDefault="00000000" w:rsidRPr="00000000" w14:paraId="0000000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Egerszalók Hegyközség</w:t>
      </w:r>
    </w:p>
    <w:p w:rsidR="00000000" w:rsidDel="00000000" w:rsidP="00000000" w:rsidRDefault="00000000" w:rsidRPr="00000000" w14:paraId="000000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Egerszólát Hegyközség</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Egervölgye Hegyközség</w:t>
      </w:r>
    </w:p>
    <w:p w:rsidR="00000000" w:rsidDel="00000000" w:rsidP="00000000" w:rsidRDefault="00000000" w:rsidRPr="00000000" w14:paraId="000000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Noszvaj-Szomolya Hegyközség</w:t>
      </w:r>
    </w:p>
    <w:p w:rsidR="00000000" w:rsidDel="00000000" w:rsidP="00000000" w:rsidRDefault="00000000" w:rsidRPr="00000000" w14:paraId="000000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Novaj Hegyközség</w:t>
      </w:r>
    </w:p>
    <w:p w:rsidR="00000000" w:rsidDel="00000000" w:rsidP="00000000" w:rsidRDefault="00000000" w:rsidRPr="00000000" w14:paraId="000000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Ostoros Hegyközség</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Verpelét Hegyközség</w:t>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I.</w:t>
      </w:r>
    </w:p>
    <w:p w:rsidR="00000000" w:rsidDel="00000000" w:rsidP="00000000" w:rsidRDefault="00000000" w:rsidRPr="00000000" w14:paraId="00000010">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 HEGYRENDÉSZET ÉS A GAZDÁLKODÁS SZABÁLYAI</w:t>
      </w:r>
    </w:p>
    <w:p w:rsidR="00000000" w:rsidDel="00000000" w:rsidP="00000000" w:rsidRDefault="00000000" w:rsidRPr="00000000" w14:paraId="0000001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 A szőlőtelepítés szabályozása:</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hegyközség a telepítés és kivágás során, az ezen tevékenységekre vonatkozó hatályos jogszabályoknak megfelelően köteles eljárni.</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borvidék területén a borvidékre vonatkozó termékleírásokban felsorolt művelésmódokat lehet alkalmazni. Ezek közül ajánlott az ernyő művelésmód, valamint az alacsony, illetve középmagas kordonművelés.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borvidéken telepítendő szőlőültetvény tőkéinek tenyészterülete a teraszos kialakítású művelés kivételével a 3 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 nem haladhatja meg úgy, hogy a sorok távolsága legfeljebb 3m lehet.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91" w:right="0" w:hanging="28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borvidéken a 435/2021. (VII. 16.) a szőlő-bor ágazatban folytatott hatósági eljárásokról és teljesítendő adatszolgáltatási kötelezettségekről szóló Kormányrendelet 10§. szerint az osztályba sorolt szőlőfajták jegyzékében felsorolt fajták telepíthetők, melyeket a hegyközségek saját rendtartásukban külön szabályoznak.</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borvidéken a telepítésre javasolt és támogatott szőlőfajták jegyzékét a mindenkor hatályos borvidéki terv tartalmazza.</w:t>
      </w:r>
    </w:p>
    <w:p w:rsidR="00000000" w:rsidDel="00000000" w:rsidP="00000000" w:rsidRDefault="00000000" w:rsidRPr="00000000" w14:paraId="00000017">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 Az Egri Borvidék borainak termelési, nyilvántartási, minősítési, ellenőrzési szabályai.</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288"/>
          <w:tab w:val="left" w:leader="none" w:pos="5882"/>
          <w:tab w:val="left" w:leader="none" w:pos="9212"/>
        </w:tabs>
        <w:spacing w:after="120" w:before="0" w:line="240" w:lineRule="auto"/>
        <w:ind w:left="993" w:right="0" w:hanging="283.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Földrajzi jelzés nélküli (a továbbiakban: FN) borok az Európai Unió és Magyarország ide vonatkozó hatályban lévő jogszabályaiban leírtak szerint termelhetők.</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288"/>
          <w:tab w:val="left" w:leader="none" w:pos="5882"/>
          <w:tab w:val="left" w:leader="none" w:pos="9212"/>
        </w:tabs>
        <w:spacing w:after="120" w:before="0" w:line="240" w:lineRule="auto"/>
        <w:ind w:left="993" w:right="0" w:hanging="283.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oltalom alatt álló földrajzi jelzéssel ellátott (a továbbiakban: OFJ) borok a szőlőtermesztésről és a borgazdálkodásról szóló 2004. évi XVIII. törvény (a továbbiakban: Btv.) tájborokra vonatkozó előírásai szerint termelhetők 2011-es évjárattal bezárólag.</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288"/>
          <w:tab w:val="left" w:leader="none" w:pos="5882"/>
          <w:tab w:val="left" w:leader="none" w:pos="9212"/>
        </w:tabs>
        <w:spacing w:after="120" w:before="0" w:line="240" w:lineRule="auto"/>
        <w:ind w:left="993" w:right="0" w:hanging="283.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OFJ borok a Felső-Magyarország termékleírás alapján termelhetők 2012. augusztus 1-től.</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288"/>
          <w:tab w:val="left" w:leader="none" w:pos="5882"/>
          <w:tab w:val="left" w:leader="none" w:pos="9212"/>
        </w:tabs>
        <w:spacing w:after="120" w:before="0" w:line="240" w:lineRule="auto"/>
        <w:ind w:left="993" w:right="0" w:hanging="283.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2009-es évjárattal bezárólag termelt Egri védett eredetű borokat az Egri borvidék védett eredetű borairól szóló 130/2003. (XII.31.) FVM rendeletnek megfelelően lehet előállítani és forgalomba hozni.</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288"/>
          <w:tab w:val="left" w:leader="none" w:pos="5882"/>
          <w:tab w:val="left" w:leader="none" w:pos="9212"/>
        </w:tabs>
        <w:spacing w:after="120" w:before="0" w:line="240" w:lineRule="auto"/>
        <w:ind w:left="993" w:right="0" w:hanging="283.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2010-es és 2011-es évjáratú oltalom alatt álló eredetmegjelölésű (a továbbiakban: OEM) borok előállításánál az Egri borvidék védett eredetű borairól szóló 102/2009.(VIII. 05.) FVM rendeletet, és az EBHT 16 /2010 (XII. 9.) számú tanácsülési határozatával elfogadott Egri Csillag szabályzatot kell alkalmazni az Eger és Debrői Hárslevelű termékleírások hatálybalépéséig.</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288"/>
          <w:tab w:val="left" w:leader="none" w:pos="5882"/>
          <w:tab w:val="left" w:leader="none" w:pos="9212"/>
        </w:tabs>
        <w:spacing w:after="120" w:before="0" w:line="240" w:lineRule="auto"/>
        <w:ind w:left="993" w:right="0" w:hanging="283.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Egri Borvidék OEM borainak termelését 2012. augusztus 1-től az Eger és a Debrői Hárslevelű OEM termékleírás szabályozza.</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288"/>
          <w:tab w:val="left" w:leader="none" w:pos="5882"/>
          <w:tab w:val="left" w:leader="none" w:pos="9212"/>
        </w:tabs>
        <w:spacing w:after="120" w:before="0" w:line="240" w:lineRule="auto"/>
        <w:ind w:left="993" w:right="0" w:hanging="283.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Egri Borvidék OEM borainak termelését 2023. augusztus 1-től az Eger, Egri Bikavér, Egri Csillag és a Debrői Hárslevelű OEM termékleírások szabályozzák.</w:t>
      </w:r>
    </w:p>
    <w:p w:rsidR="00000000" w:rsidDel="00000000" w:rsidP="00000000" w:rsidRDefault="00000000" w:rsidRPr="00000000" w14:paraId="0000001F">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3.A szőlőtermesztés szabályozása:</w:t>
      </w:r>
    </w:p>
    <w:p w:rsidR="00000000" w:rsidDel="00000000" w:rsidP="00000000" w:rsidRDefault="00000000" w:rsidRPr="00000000" w14:paraId="0000002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tőkehiányok pótlására egybefüggő ültetvények esetében csak fajtaazonos szőlőoltvány használható fel és újratelepítési engedéllyel végezhető.</w:t>
      </w:r>
    </w:p>
    <w:p w:rsidR="00000000" w:rsidDel="00000000" w:rsidP="00000000" w:rsidRDefault="00000000" w:rsidRPr="00000000" w14:paraId="0000002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Btv. és végrehajtási rendelete szerint, a borvidék eredetvédelmi rendszeréhez kapcsolódóan eredetvédett termőhelyek határolhatók le a termeszthető fajták, a termesztési és borászati technológia egyidejű meghatározásával.</w:t>
      </w:r>
    </w:p>
    <w:p w:rsidR="00000000" w:rsidDel="00000000" w:rsidP="00000000" w:rsidRDefault="00000000" w:rsidRPr="00000000" w14:paraId="0000002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borvidék szőlőtermelői kötelesek megfelelő növény-egészségügyi állapotban tartani ültetvényterületüket, védekezni a szőlőkárosítók ellen a termesztési technológiájának megfelelően, figyelembe véve a természet- és tájvédelemre vonatkozó jogszabályokat is.</w:t>
      </w:r>
    </w:p>
    <w:p w:rsidR="00000000" w:rsidDel="00000000" w:rsidP="00000000" w:rsidRDefault="00000000" w:rsidRPr="00000000" w14:paraId="0000002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90"/>
          <w:tab w:val="left" w:leader="none" w:pos="5288"/>
          <w:tab w:val="left" w:leader="none" w:pos="5882"/>
          <w:tab w:val="left" w:leader="none" w:pos="9212"/>
        </w:tabs>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szőlőtermelés részét képezi a szőlőültetvénnyel érintkező dűlőutak, a művelő gépek forgó területének, árkok, vízátereszek tisztántartása is.</w:t>
      </w:r>
    </w:p>
    <w:p w:rsidR="00000000" w:rsidDel="00000000" w:rsidP="00000000" w:rsidRDefault="00000000" w:rsidRPr="00000000" w14:paraId="0000002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90"/>
          <w:tab w:val="left" w:leader="none" w:pos="5288"/>
          <w:tab w:val="left" w:leader="none" w:pos="5882"/>
          <w:tab w:val="left" w:leader="none" w:pos="9212"/>
        </w:tabs>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Telepítés esetén a közlekedési utaktól, dűlőutaktól, tábla utaktól, szomszédos területtől elhagyandó távolságokat a hegyközségek, a dűlők látképének figyelembevételével, rendtartásaikban kötelesek szabályozni úgy, hogy a terület gépi művelése a szomszédos területek igénybevétele nélkül megoldható legyen. A minimum elhagyandó távolság a telekhatártól a sorvégekig, közös úthasználat esetén, 2-2 méter. Vitás esetekben a hegyközség választmánya határozatot hoz.</w:t>
      </w:r>
    </w:p>
    <w:p w:rsidR="00000000" w:rsidDel="00000000" w:rsidP="00000000" w:rsidRDefault="00000000" w:rsidRPr="00000000" w14:paraId="0000002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90"/>
          <w:tab w:val="left" w:leader="none" w:pos="5288"/>
          <w:tab w:val="left" w:leader="none" w:pos="5882"/>
          <w:tab w:val="left" w:leader="none" w:pos="9212"/>
        </w:tabs>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szőlőfelvásárlók kötelesek a szőlőfajta szüretelésének megkezdése előtt legalább 8 nappal közzétenni a felvásárlási nettó árakat szőlőminőség (mustfok, szőlőegészségi állapot szerint) szerint differenciáltan a szőlő átvevő helyen jól látható módon.</w:t>
      </w:r>
    </w:p>
    <w:p w:rsidR="00000000" w:rsidDel="00000000" w:rsidP="00000000" w:rsidRDefault="00000000" w:rsidRPr="00000000" w14:paraId="0000002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90"/>
          <w:tab w:val="left" w:leader="none" w:pos="5288"/>
          <w:tab w:val="left" w:leader="none" w:pos="5882"/>
          <w:tab w:val="left" w:leader="none" w:pos="9212"/>
        </w:tabs>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a szőlőfelvásárló, aki továbbértékesítés céljából vásárol fel szőlőt, a szőlő átvételi hely pontos címét a felvásárlási tevékenysége megkezdése előtt legalább 8 nappal köteles bejelenteni az EBHT bármely elérhetőségére.</w:t>
      </w:r>
    </w:p>
    <w:p w:rsidR="00000000" w:rsidDel="00000000" w:rsidP="00000000" w:rsidRDefault="00000000" w:rsidRPr="00000000" w14:paraId="0000002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90"/>
          <w:tab w:val="left" w:leader="none" w:pos="5288"/>
          <w:tab w:val="left" w:leader="none" w:pos="5882"/>
          <w:tab w:val="left" w:leader="none" w:pos="9212"/>
        </w:tabs>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mázsajegyen kötelező feltüntetni a felek adatain túl a tételenként mért nettó súlyt, szüret módját (gépi, kézi), mustfokot, és Ft/kg egységnek megfelelő felvásárlási árat.</w:t>
      </w:r>
    </w:p>
    <w:p w:rsidR="00000000" w:rsidDel="00000000" w:rsidP="00000000" w:rsidRDefault="00000000" w:rsidRPr="00000000" w14:paraId="00000028">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4. A borgazdálkodás szabályozása:</w:t>
      </w:r>
    </w:p>
    <w:p w:rsidR="00000000" w:rsidDel="00000000" w:rsidP="00000000" w:rsidRDefault="00000000" w:rsidRPr="00000000" w14:paraId="0000002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40" w:lineRule="auto"/>
        <w:ind w:left="991" w:right="0" w:hanging="42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Minden bor vagy szőlőből származó más termék csak forgalombahozatali engedéllyel kerülhet forgalomba. Az Egri Borvidék Hegyközségi Tanácsa jogosult a borvidéki hegyközségekkel közösen, az ország egész területén, az illetékes hatóságokkal együttműködve ellenőrizni a Debrői Hárslevelű, az Egri, az Egri Bikavér és az Egri Csillag megnevezésű OEM borok eredetét, minőségét.</w:t>
      </w:r>
    </w:p>
    <w:p w:rsidR="00000000" w:rsidDel="00000000" w:rsidP="00000000" w:rsidRDefault="00000000" w:rsidRPr="00000000" w14:paraId="0000002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40" w:lineRule="auto"/>
        <w:ind w:left="991" w:right="0" w:hanging="42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forgalomba kerülő 2. pontban felsorolt OEM borok palackján kötelező elhelyezni az EBHT által nyomdai úton elkészített, hologramos, sorszámmal, ellátott tanúsító védjegyet, amennyiben azt a bor évjáratának megfelelően hatályos rendelet vagy termékleírás előírja. A tanúsító védjegyet a bor forgalombahozatali engedély kiadását követően az EBHT - Eredetvédelem Nonprofit Kft. közreműködésével az EBHT bocsátja rendelkezésre térítés ellenében.</w:t>
      </w:r>
    </w:p>
    <w:p w:rsidR="00000000" w:rsidDel="00000000" w:rsidP="00000000" w:rsidRDefault="00000000" w:rsidRPr="00000000" w14:paraId="0000002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40" w:lineRule="auto"/>
        <w:ind w:left="991" w:right="0" w:hanging="42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Azokra az Eger OEM borokra - melyeken nem kötelező elhelyezni a borvidéki tanúsító védjegyet - az érzékszervi minősítést kérelmező köteles megfizetni a sikeresen minősített bortétel mennyiségére jutó 0,75l-es kiszereléssel számított védjegyárnak megfelelő díjat „borvidéki marketing hozzájárulás” jogcímen még a tétel forgalomba hozatala előtt. A hozzájárulás összegéről az EBHT – Eredetvédelem nonprofit Kft. számlát állít ki a kiállítás napján érvényben lévő védjegyárnak megfelelően.</w:t>
      </w:r>
    </w:p>
    <w:p w:rsidR="00000000" w:rsidDel="00000000" w:rsidP="00000000" w:rsidRDefault="00000000" w:rsidRPr="00000000" w14:paraId="0000002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40" w:lineRule="auto"/>
        <w:ind w:left="991" w:right="0" w:hanging="42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tanúsító védjegy formája a Közgyűlés által elfogadott kör alakú egyedi sorszámmal ellátott hologramos címke.</w:t>
      </w:r>
    </w:p>
    <w:p w:rsidR="00000000" w:rsidDel="00000000" w:rsidP="00000000" w:rsidRDefault="00000000" w:rsidRPr="00000000" w14:paraId="0000002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40" w:lineRule="auto"/>
        <w:ind w:left="991" w:right="0" w:hanging="42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Egri Bikavér OEM classicus bort először a szüretet követő év augusztus 1-től lehet az Egri Borvidék Borminősítő Bizottságával (a továbbiakban EBBB) érzékszervi vizsgálaton minősíttetni.</w:t>
      </w:r>
    </w:p>
    <w:p w:rsidR="00000000" w:rsidDel="00000000" w:rsidP="00000000" w:rsidRDefault="00000000" w:rsidRPr="00000000" w14:paraId="0000002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40" w:lineRule="auto"/>
        <w:ind w:left="991" w:right="0" w:hanging="42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2. pontban felsorolt oltalom alatt álló eredetmegjelölésű borok esetében: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56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bikaalak, bikafej, vagy erre emlékeztető figurát ábrázoló kép, valamint a bikavér szó idegen nyelven, vagy bármilyen, a bikavérre utaló magyar vagy idegen nyelvű kifejezés kizárólag az Egri Bikavér, az Egri Bikavér Superior és az Egri Bikavér Grand Superior borok címkéjén és palackján jelölhető. Kivételt jelent az Egri borvidék tanúsító védjegyén található bikaalakra utaló ábra.</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56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bármilyen méretű, alakú csillag vagy erre emlékeztető figurát ábrázoló kép, valamint a csillag szó idegen nyelven, vagy bármilyen, a csillagra utaló magyar vagy idegen nyelvű kifejezés kizárólag az Egri Csillag, az Egri Csillag Superior és az Egri Csillag Grand Superior borokon jelölhető</w:t>
      </w:r>
    </w:p>
    <w:p w:rsidR="00000000" w:rsidDel="00000000" w:rsidP="00000000" w:rsidRDefault="00000000" w:rsidRPr="00000000" w14:paraId="0000003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40" w:lineRule="auto"/>
        <w:ind w:left="991" w:right="0" w:hanging="42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borok által elnyert díjak és érmek feltüntethetők a palackon, feltéve, hogy azokat a hatályos jogszabályokban meghatározott szervezetek által rendezett versenyen, vagy más országban rendezett engedélyezett versenyen nyerték. A feltűntetés esetén, bortípustól függően, figyelembe kell venni a termékleírásban meghatározott jelölési szabályokat, illetve a címkézésre vonatkozó hatályos jogszabályokat.</w:t>
      </w:r>
    </w:p>
    <w:p w:rsidR="00000000" w:rsidDel="00000000" w:rsidP="00000000" w:rsidRDefault="00000000" w:rsidRPr="00000000" w14:paraId="00000032">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5. A gazdálkodás és ellenőrzés szabályai:</w:t>
      </w:r>
    </w:p>
    <w:p w:rsidR="00000000" w:rsidDel="00000000" w:rsidP="00000000" w:rsidRDefault="00000000" w:rsidRPr="00000000" w14:paraId="0000003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Egri Borvidék Hegyközségi Tanácsának taghegyközségei kötelesek az Egri Borvidék Hegyközségi Tanácsnak fenntartási hozzájárulást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fizetni negyedévente, legkésőbb a negyedév végét követő 15 napon belül. A negyedik negyedéves járulékot december 15-ig kell megfizetni. </w:t>
      </w:r>
    </w:p>
    <w:p w:rsidR="00000000" w:rsidDel="00000000" w:rsidP="00000000" w:rsidRDefault="00000000" w:rsidRPr="00000000" w14:paraId="0000003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fenntartási hozzájárulás mértéke Ft/ha. A taghegyközségek területük nagyságáról az adott év január 20-ig kötelesek nyilatkozni. A Hegyközségi Tanács titkára, az EBHT által meghatározott fenntartási hozzájárulás összegét határozati formában 15 napon belül megküldi a taghegyközségek részére. </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OEM borok után fizetendő járulékot (továbbiakban: eredetvédelmi járulék) a tanúsító védjegyek kiadása előtt, de legkésőbb az eredetvédelmi járulékról szóló határozat keltezését követő 60 napon belül a bor származási bizonyítványán feltüntetett tétel teljes mennyiségének megfelelően kell megfizetni.</w:t>
      </w:r>
    </w:p>
    <w:p w:rsidR="00000000" w:rsidDel="00000000" w:rsidP="00000000" w:rsidRDefault="00000000" w:rsidRPr="00000000" w14:paraId="0000003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egri borvidék területéről kiszerelés céljára kiszállított OEM borok után borvidéki marketing hozzájárulás fizetendő, melyből befolyt összeget a tanács teljes egészében a borvidék OEM boraihoz kapcsolódó marketingre fordít. A hozzájárulást a bor előállítója fizeti meg. A hozzájárulás alapmértéke Ft/liter, melyet a Közgyűlés határoz meg. A fizetendő hozzájárulás - a termékleírások VIII. fejezetében meghatározott bejelentésben - a kiszállított bormennyiségre vetített összeg. A fizetendő összegéről a EBHT – Eredetvédelem nonprofit Kft. számlát állít ki „borvidéki marketing hozzájárulás” jogcímen, melyet a kiállítástól számított 30 napon belül kell megfizetni.</w:t>
      </w:r>
    </w:p>
    <w:p w:rsidR="00000000" w:rsidDel="00000000" w:rsidP="00000000" w:rsidRDefault="00000000" w:rsidRPr="00000000" w14:paraId="0000003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EBHT a működéséhez szükséges adatokat kérhet a borvidék hegyközségeitől. Az adatokat az EBHT különös figyelemmel/titkosan kezeli, személyes adatokat nem ad ki harmadik személy részére.</w:t>
      </w:r>
    </w:p>
    <w:p w:rsidR="00000000" w:rsidDel="00000000" w:rsidP="00000000" w:rsidRDefault="00000000" w:rsidRPr="00000000" w14:paraId="0000003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hegyközségek rendtartásukat az elfogadást, illetve a módosítást követően 15 napon belül kötelesek az Egri Borvidék Hegyközségi Tanácsának hivatalosan megküldeni szakmai felülvizsgálatra. Kifogás híján a megküldést követő harminc nap elteltével hirdetményi úton, valamint a helyben szokásos más alkalmas módon is közzé kell tenni.</w:t>
      </w:r>
    </w:p>
    <w:p w:rsidR="00000000" w:rsidDel="00000000" w:rsidP="00000000" w:rsidRDefault="00000000" w:rsidRPr="00000000" w14:paraId="0000003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hegyközségi, valamint a szőlő- és borgazdálkodás területén ellenőrzésre jogosult más szervezetek kötelesek együttműködni, ellenőrzéseik tapasztalatairól egymást kölcsönösen tájékoztatni.</w:t>
      </w:r>
    </w:p>
    <w:p w:rsidR="00000000" w:rsidDel="00000000" w:rsidP="00000000" w:rsidRDefault="00000000" w:rsidRPr="00000000" w14:paraId="0000003A">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II.</w:t>
      </w:r>
    </w:p>
    <w:p w:rsidR="00000000" w:rsidDel="00000000" w:rsidP="00000000" w:rsidRDefault="00000000" w:rsidRPr="00000000" w14:paraId="0000003B">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ELJÁRÁSI SZABÁLYOK ÉS JOGKÖVETKEZMÉNYEK</w:t>
      </w:r>
    </w:p>
    <w:p w:rsidR="00000000" w:rsidDel="00000000" w:rsidP="00000000" w:rsidRDefault="00000000" w:rsidRPr="00000000" w14:paraId="0000003C">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 A származási bizonyítványok kiadásának rendje:</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mindenkori hatályos jogszabályok szerint.</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Egri borvidék OEM borai esetében, a forgalombahozatali eljárást meg kell előznie az EBBB érzékszervi bírálatának. A bírálatot az Egri Borvidék Borminősítő Bizottsága végzi.</w:t>
      </w:r>
    </w:p>
    <w:p w:rsidR="00000000" w:rsidDel="00000000" w:rsidP="00000000" w:rsidRDefault="00000000" w:rsidRPr="00000000" w14:paraId="0000003F">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 Ügyintézés rendje: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93"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ügyintézéshez, a kötelező jellegű bejelentésekhez, illetve a kérelmekhez az EBHT által elfogadott nyomtatványokat kell alkalmazni a szükséges mellékletek csatolásával.</w:t>
      </w:r>
    </w:p>
    <w:p w:rsidR="00000000" w:rsidDel="00000000" w:rsidP="00000000" w:rsidRDefault="00000000" w:rsidRPr="00000000" w14:paraId="0000004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 Másodfokú eljárás:</w:t>
      </w:r>
    </w:p>
    <w:p w:rsidR="00000000" w:rsidDel="00000000" w:rsidP="00000000" w:rsidRDefault="00000000" w:rsidRPr="00000000" w14:paraId="0000004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hegybíró határozata ellen a Hegyközségek Nemzeti Tanácsához lehet fellebbezni.</w:t>
      </w:r>
    </w:p>
    <w:p w:rsidR="00000000" w:rsidDel="00000000" w:rsidP="00000000" w:rsidRDefault="00000000" w:rsidRPr="00000000" w14:paraId="0000004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EBHT határozatai ellen az EBHT ellenőrző bizottságához lehet fellebbezni.</w:t>
      </w:r>
    </w:p>
    <w:p w:rsidR="00000000" w:rsidDel="00000000" w:rsidP="00000000" w:rsidRDefault="00000000" w:rsidRPr="00000000" w14:paraId="0000004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EBHT rendtartási ügyben hozott döntésének felülvizsgálatát az a tag kérheti, akinek jogát vagy jogos érdekét a döntés sérti. Perindítás előtt a sérelmet szenvedett tag köteles a jogsértést bejelenteni a döntés meghozatalától számított tizenöt napon belül az ellenőrző bizottságnak, amely további tizenöt napon belül állást foglal, és erről a tagot, valamint a döntést meghozó testületet írásban értesíti. A keresetet az ellenőrző bizottság állásfoglalása kézhezvételétől számított harminc napon belül a sérelmes döntést hozó hegyközségi szervezet ellen kell megindítani. A keresetindításra nyitva álló határidő jogvesztő. A keresetindításnak halasztó hatálya nincs, a törvényszék azonban a döntés végrehajtását felfüggesztheti.</w:t>
      </w:r>
    </w:p>
    <w:p w:rsidR="00000000" w:rsidDel="00000000" w:rsidP="00000000" w:rsidRDefault="00000000" w:rsidRPr="00000000" w14:paraId="00000045">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4. A rendtartás megszegésével kapcsolatos eljárás:</w:t>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Rendtartás megszegésével kapcsolatos eljárás, az Igazgatóválasztmány hatáskörébe tartozik, a Szervezeti és Működési Szabályzatban leírt részletes szabályok figyelembevételével.</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Igazgatóválasztmány a Rendtartás megszegése esetén:</w:t>
      </w:r>
    </w:p>
    <w:p w:rsidR="00000000" w:rsidDel="00000000" w:rsidP="00000000" w:rsidRDefault="00000000" w:rsidRPr="00000000" w14:paraId="0000004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418"/>
        </w:tabs>
        <w:spacing w:after="120" w:before="0" w:line="240" w:lineRule="auto"/>
        <w:ind w:left="1418" w:right="0" w:hanging="284.000000000000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felhívhatja a hegyközségeket a Borvidéki Rendtartásban foglaltak betartására,</w:t>
      </w:r>
    </w:p>
    <w:p w:rsidR="00000000" w:rsidDel="00000000" w:rsidP="00000000" w:rsidRDefault="00000000" w:rsidRPr="00000000" w14:paraId="0000004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418"/>
        </w:tabs>
        <w:spacing w:after="120" w:before="0" w:line="240" w:lineRule="auto"/>
        <w:ind w:left="1418" w:right="0" w:hanging="284.000000000000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Hegyközséget 100.000 Ft-ig terjedő pénzbírsággal sújthatja,</w:t>
      </w:r>
    </w:p>
    <w:p w:rsidR="00000000" w:rsidDel="00000000" w:rsidP="00000000" w:rsidRDefault="00000000" w:rsidRPr="00000000" w14:paraId="0000004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418"/>
        </w:tabs>
        <w:spacing w:after="120" w:before="0" w:line="240" w:lineRule="auto"/>
        <w:ind w:left="1418" w:right="0" w:hanging="284.000000000000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a szőlőfelvásárló, aki nem tartja be az I. fejezet 3./e, f és g pontjai valamelyikét, minimum 50.000 Ft-al büntetendő. Ismétlődő szabálysértés esetén a Debrői hárslevelű, az Egri, az Egri Bikavér és az Egri Csillag OEM megjelölésű borok névhasználatától el kell tiltani,</w:t>
      </w:r>
    </w:p>
    <w:p w:rsidR="00000000" w:rsidDel="00000000" w:rsidP="00000000" w:rsidRDefault="00000000" w:rsidRPr="00000000" w14:paraId="0000004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418"/>
        </w:tabs>
        <w:spacing w:after="120" w:before="0" w:line="240" w:lineRule="auto"/>
        <w:ind w:left="1418" w:right="0" w:hanging="284.000000000000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azt a felvásárlót, aki nem tartja be a Borvidéki Rendtartás I. fejezet 2. pontját, illetve a bor előállítóját, aki nem tartja be a Borvidéki Rendtartás II. fejezet 1.b. pontját, eltilthatja a Debrői hárslevelű, az Egri, az Egri Bikavér és az Egri Csillag OEM borok névhasználatától,</w:t>
      </w:r>
    </w:p>
    <w:p w:rsidR="00000000" w:rsidDel="00000000" w:rsidP="00000000" w:rsidRDefault="00000000" w:rsidRPr="00000000" w14:paraId="0000004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418"/>
        </w:tabs>
        <w:spacing w:after="120" w:before="0" w:line="240" w:lineRule="auto"/>
        <w:ind w:left="1418" w:right="0" w:hanging="284.000000000000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a borelőállító, illetve forgalmazó, aki az Egri borvidék OEM borai előállítására, forgalmazására, palackozására vonatkozó szabályokat megszegi, az eredetvédelmi járulék háromszorosának megfelelő összeggel, de minimum 50.000,- Ft-al büntetendő. Ismétlődő szabálysértés esetén a fenti pontban felsorolt nevek használatától el kell tiltani.</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Eredetvédelmi járulék, illetve marketing hozzájárulás, vagy EBHT – Eredetvédelem nonprofit Kft. által hegyközségi tag számára kiállított számla tartozás esetén az Hegyközségi Tanács titkára dönthet a szolgáltatások (érzékszervi minősítés, tanúsító védjegy kiadás) felfüggesztéséről a tartozóval szemben a tartozás rendezéséig. </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Hegyközségi Tanács titkára a Borvidéki Rendtartás szabályainak betartását folyamatosan figyelemmel kíséri, és tapasztalatairól az Igazgatóválasztmányt tájékoztatja.</w:t>
      </w:r>
    </w:p>
    <w:p w:rsidR="00000000" w:rsidDel="00000000" w:rsidP="00000000" w:rsidRDefault="00000000" w:rsidRPr="00000000" w14:paraId="0000004F">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5. Közös eljárási szabályok:</w:t>
      </w:r>
    </w:p>
    <w:p w:rsidR="00000000" w:rsidDel="00000000" w:rsidP="00000000" w:rsidRDefault="00000000" w:rsidRPr="00000000" w14:paraId="0000005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jelen Rendtartásban leírt eljárások során, az eljáró testület, illetve tisztségviselő, a 2016. évi CL. törvény (Akr) rendelkezéseit köteles megfelelően alkalmazni.</w:t>
      </w:r>
    </w:p>
    <w:p w:rsidR="00000000" w:rsidDel="00000000" w:rsidP="00000000" w:rsidRDefault="00000000" w:rsidRPr="00000000" w14:paraId="0000005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borvidéki Rendtartás szabályainak a borvidéki hegyközségekben történő betartásáért és betartatásáért a Hegyközség elnöke és a küldötteik felelősek.</w:t>
      </w:r>
    </w:p>
    <w:p w:rsidR="00000000" w:rsidDel="00000000" w:rsidP="00000000" w:rsidRDefault="00000000" w:rsidRPr="00000000" w14:paraId="00000052">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6. EBHT Rendtartás mellékletei és kiemelt jogszabályok:</w:t>
      </w:r>
    </w:p>
    <w:p w:rsidR="00000000" w:rsidDel="00000000" w:rsidP="00000000" w:rsidRDefault="00000000" w:rsidRPr="00000000" w14:paraId="00000053">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993"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Mellékletek</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Egri Csillag szabályzata</w:t>
      </w:r>
    </w:p>
    <w:p w:rsidR="00000000" w:rsidDel="00000000" w:rsidP="00000000" w:rsidRDefault="00000000" w:rsidRPr="00000000" w14:paraId="00000055">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993"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Jogszabályok</w:t>
      </w:r>
    </w:p>
    <w:p w:rsidR="00000000" w:rsidDel="00000000" w:rsidP="00000000" w:rsidRDefault="00000000" w:rsidRPr="00000000" w14:paraId="0000005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Egri borvidék védett eredetű borairól szóló 130/2003. (XII.31.) FVM. rendelet</w:t>
      </w:r>
    </w:p>
    <w:p w:rsidR="00000000" w:rsidDel="00000000" w:rsidP="00000000" w:rsidRDefault="00000000" w:rsidRPr="00000000" w14:paraId="0000005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Az Egri borvidék védett eredetű borairól szóló 102/2009. (VIII.5.) számú FVM. rendelet.</w:t>
      </w:r>
    </w:p>
    <w:p w:rsidR="00000000" w:rsidDel="00000000" w:rsidP="00000000" w:rsidRDefault="00000000" w:rsidRPr="00000000" w14:paraId="00000058">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993"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Termékleírások</w:t>
      </w:r>
    </w:p>
    <w:p w:rsidR="00000000" w:rsidDel="00000000" w:rsidP="00000000" w:rsidRDefault="00000000" w:rsidRPr="00000000" w14:paraId="0000005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Felső-Magyarország (OFJ) termékleírás</w:t>
      </w:r>
    </w:p>
    <w:p w:rsidR="00000000" w:rsidDel="00000000" w:rsidP="00000000" w:rsidRDefault="00000000" w:rsidRPr="00000000" w14:paraId="0000005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Debrői Hárslevelű (OEM) termékleírás</w:t>
      </w:r>
    </w:p>
    <w:p w:rsidR="00000000" w:rsidDel="00000000" w:rsidP="00000000" w:rsidRDefault="00000000" w:rsidRPr="00000000" w14:paraId="000000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Eger (OEM) termékleírás</w:t>
      </w:r>
    </w:p>
    <w:p w:rsidR="00000000" w:rsidDel="00000000" w:rsidP="00000000" w:rsidRDefault="00000000" w:rsidRPr="00000000" w14:paraId="000000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Egri Bikavér (OEM) termékleírás</w:t>
      </w:r>
    </w:p>
    <w:p w:rsidR="00000000" w:rsidDel="00000000" w:rsidP="00000000" w:rsidRDefault="00000000" w:rsidRPr="00000000" w14:paraId="0000005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Egri Csillag (OEM) termékleírás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III.</w:t>
      </w:r>
    </w:p>
    <w:p w:rsidR="00000000" w:rsidDel="00000000" w:rsidP="00000000" w:rsidRDefault="00000000" w:rsidRPr="00000000" w14:paraId="00000060">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ZÁRÓ RENDELKEZÉSEK</w:t>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jelen Rendtartást minden Hegyközségnek meg kell küldeni, és ennek egy példányát a helyben szokásos módon közszemlére kell kitenni.</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Borvidéki Rendtartás a kihirdetés napját követő 30. napon lép hatályba.</w:t>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Módosításokkal egységes szerkezetbe foglalva a 4/2024 (V.23.) számú EBHT határozatok alapján.</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Eger, 2024. május 23.</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3969"/>
          <w:tab w:val="left" w:leader="none" w:pos="5670"/>
          <w:tab w:val="left" w:leader="none" w:pos="8505"/>
        </w:tabs>
        <w:spacing w:after="0" w:before="4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ab/>
        <w:tab/>
        <w:tab/>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552"/>
          <w:tab w:val="center"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Farkas László</w:t>
        <w:tab/>
        <w:t xml:space="preserve">Lengyelné Kovács Mónika</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552"/>
          <w:tab w:val="center"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EBHT elnök</w:t>
        <w:tab/>
        <w:t xml:space="preserve">jegyzőkönyvvezető</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552"/>
          <w:tab w:val="center"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552"/>
          <w:tab w:val="center"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3969"/>
          <w:tab w:val="left" w:leader="none" w:pos="5670"/>
          <w:tab w:val="left" w:leader="none" w:pos="8505"/>
        </w:tabs>
        <w:spacing w:after="0" w:before="4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ab/>
        <w:tab/>
        <w:tab/>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552"/>
          <w:tab w:val="center"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Lamport József</w:t>
        <w:tab/>
        <w:t xml:space="preserve">Szuromi Mihály</w:t>
        <w:tab/>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2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Hitelesítők</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2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1"/>
        <w:widowControl w:val="1"/>
        <w:pBdr>
          <w:top w:space="0" w:sz="0" w:val="nil"/>
          <w:left w:space="0" w:sz="0" w:val="nil"/>
          <w:bottom w:space="0" w:sz="0" w:val="nil"/>
          <w:right w:space="0" w:sz="0" w:val="nil"/>
          <w:between w:space="0" w:sz="0" w:val="nil"/>
        </w:pBdr>
        <w:shd w:fill="auto" w:val="clear"/>
        <w:tabs>
          <w:tab w:val="center" w:leader="none" w:pos="482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számú melléklet</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2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Egri Csillag bor szabályozása</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Előzmények: Borászatok kezdeményezésére meghirdetésre került, hogy az Egri Bikavérnek a fehér párját meg kellene alkotni. A borvidéki tanács a kezdeményezést felkarolta, és a tervezett bornak az elnevezésére pályázatot hirdetett. Ezen pályázat bíráló bizottságának döntése az Egri Csillag elnevezést tette az első helyre, melynek kihirdetése 2010. évi Bikavér ünnepen kihirdetésre került. A kihirdetést megelőzően a borvidéki tanács a Szabadalmi Hivatalhoz benyújtotta kérelmét az „Egri Csillag” mint szóösszetétel levédéséhez, mely kérelmet a hivatal befogadott, és kihirdetett. Mivel a név megvan, de nem került hozzá szabályozás, szükséges ennek elkészítése és jóváhagyása, mert e nélkül bármilyen borvidéki terméket lehet a csillag névhez kötni.</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szabályozás alapja a 102/2009 (VIII.5.) FVM rendelet fehér házasított borokra vonatkozó leírás. A szabályozást a Borászati Bizottság korábbi ülése már tárgyalta a termékleírás elkészítése alapján és az abban foglaltak vannak előterjesztve.</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 szabályozás leírása</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Csillag védett eredetű bort a 102/2009. (VIII.5.) FVM. Rendelet fehér házasított borokra vonatkozó szabályok szerint kell előállítani az alábbi kivételekkel:</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Egri klasszikus és Egri superior kategóriára egyaránt vonatkozó szabályok.</w:t>
      </w:r>
    </w:p>
    <w:p w:rsidR="00000000" w:rsidDel="00000000" w:rsidP="00000000" w:rsidRDefault="00000000" w:rsidRPr="00000000" w14:paraId="0000007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Az alkalmazott szőlőfajták köre: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Kárpát medencei fajták: cserszegi fűszeres, hárslevelű, Irsai Olivér, királyleányka, leányka,   olaszrizling, zenit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Egyéb fajták: chardonnay, ottonel muskotály, pinot blanc, rajnai rizling, sárga muskotály, sauvignon blanc, szürkebarát, tramini.</w:t>
      </w:r>
    </w:p>
    <w:p w:rsidR="00000000" w:rsidDel="00000000" w:rsidP="00000000" w:rsidRDefault="00000000" w:rsidRPr="00000000" w14:paraId="0000007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324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Házasítási szabályok: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40"/>
        </w:tabs>
        <w:spacing w:after="0" w:before="0" w:line="240" w:lineRule="auto"/>
        <w:ind w:left="1620" w:right="0" w:hanging="176.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legalább négy szőlőfajta bora házasítása kötelező, arányuknak meg kell haladnia külön-külön az 5%-ot,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40"/>
        </w:tabs>
        <w:spacing w:after="0" w:before="0" w:line="240" w:lineRule="auto"/>
        <w:ind w:left="1620" w:right="0" w:hanging="176.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egy fajta borának aránya sem haladhatja meg az 50%-ot,</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40"/>
        </w:tabs>
        <w:spacing w:after="0" w:before="0" w:line="240" w:lineRule="auto"/>
        <w:ind w:left="1620" w:right="0" w:hanging="176.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Kárpát-medencei fajták használata kötelező és ezekből a fajtákból együttesen vagy  külön-külön legalább 50 %  arányban kell házasítani,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40"/>
        </w:tabs>
        <w:spacing w:after="0" w:before="0" w:line="240" w:lineRule="auto"/>
        <w:ind w:left="1620" w:right="0" w:hanging="176.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muskotályos fajták borának aránya együttesen és külön-külön sem haladhatja meg  a 30%-ot</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40"/>
        </w:tabs>
        <w:spacing w:after="0" w:before="0" w:line="240" w:lineRule="auto"/>
        <w:ind w:left="1620" w:right="0" w:hanging="176.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fajtanevek a bor címkéjén a fogyasztó informálására feltüntethetők</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40"/>
        </w:tabs>
        <w:spacing w:after="0" w:before="0" w:line="240" w:lineRule="auto"/>
        <w:ind w:left="1620" w:right="0" w:hanging="176.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házasításnál felhasznált 5%-ot el nem ért arányú borok fajtanevei a címkén a fogyasztók informálására sem tüntethetők fel.</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 A bort csak száraz borként lehet forgalomba hozni</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Egri Csillag bort csak a 2010-es évjárattól, a szüretet követő március 15-től lehet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forgalomba hozni.</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Egri Csillag superior kategóriára vonatkozó szabály:</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bor palackozását legkorábban a szüretet követő február 1-e után lehet megkezdeni, a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palackozást követően pedig legalább 3 hónapig kell érlelni.</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Átmeneti szabály: A szabályzat elfogadásának napjáig forgalomba hozatali engedéllyel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rendelkező Egri Csillag bort az abban foglaltak szerint, a tétel mennyiségéig forgalmazható.</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2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sectPr>
      <w:footerReference r:id="rId8" w:type="default"/>
      <w:footerReference r:id="rId9" w:type="even"/>
      <w:pgSz w:h="16840" w:w="11907" w:orient="portrait"/>
      <w:pgMar w:bottom="851" w:top="709" w:left="993" w:right="708" w:header="708" w:footer="44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E">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Az Egri Borvidék Hegyközségi Tanácsának Rendtartása 2024.05.23-án (elfogadva) 2024.06.28-án kihirdetve</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
      <w:lvlJc w:val="left"/>
      <w:pPr>
        <w:ind w:left="991" w:hanging="283"/>
      </w:pPr>
      <w:rPr>
        <w:rFonts w:ascii="Times New Roman" w:cs="Times New Roman" w:eastAsia="Times New Roman" w:hAnsi="Times New Roman"/>
        <w:b w:val="0"/>
        <w:bCs w:val="0"/>
        <w:i w:val="0"/>
        <w:iCs w:val="0"/>
        <w:strike w:val="0"/>
        <w:sz w:val="28"/>
        <w:szCs w:val="28"/>
        <w:u w:val="none"/>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14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lowerLetter"/>
      <w:lvlText w:val="%1)"/>
      <w:lvlJc w:val="left"/>
      <w:pPr>
        <w:ind w:left="720" w:hanging="360"/>
      </w:pPr>
      <w:rPr>
        <w:vertAlign w:val="baseline"/>
      </w:rPr>
    </w:lvl>
    <w:lvl w:ilvl="1">
      <w:start w:val="0"/>
      <w:numFmt w:val="bullet"/>
      <w:lvlText w:val="-"/>
      <w:lvlJc w:val="left"/>
      <w:pPr>
        <w:ind w:left="1440" w:hanging="360"/>
      </w:pPr>
      <w:rPr>
        <w:rFonts w:ascii="Calibri" w:cs="Calibri" w:eastAsia="Calibri" w:hAnsi="Calibri"/>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lowerLetter"/>
      <w:lvlText w:val="%1)"/>
      <w:lvlJc w:val="left"/>
      <w:pPr>
        <w:ind w:left="360" w:hanging="360"/>
      </w:pPr>
      <w:rPr>
        <w:vertAlign w:val="baseline"/>
      </w:rPr>
    </w:lvl>
    <w:lvl w:ilvl="1">
      <w:start w:val="1"/>
      <w:numFmt w:val="bullet"/>
      <w:lvlText w:val="●"/>
      <w:lvlJc w:val="left"/>
      <w:pPr>
        <w:ind w:left="720" w:hanging="360"/>
      </w:pPr>
      <w:rPr>
        <w:rFonts w:ascii="Noto Sans Symbols" w:cs="Noto Sans Symbols" w:eastAsia="Noto Sans Symbols" w:hAnsi="Noto Sans Symbols"/>
        <w:color w:val="000000"/>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lowerLetter"/>
      <w:lvlText w:val="%1)"/>
      <w:lvlJc w:val="left"/>
      <w:pPr>
        <w:ind w:left="1146" w:hanging="360"/>
      </w:pPr>
      <w:rPr>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lowerLetter"/>
      <w:lvlText w:val="%1)"/>
      <w:lvlJc w:val="left"/>
      <w:pPr>
        <w:ind w:left="991" w:hanging="283"/>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1428" w:hanging="360"/>
      </w:pPr>
      <w:rPr>
        <w:rFonts w:ascii="Noto Sans Symbols" w:cs="Noto Sans Symbols" w:eastAsia="Noto Sans Symbols" w:hAnsi="Noto Sans Symbols"/>
        <w:color w:val="000000"/>
        <w:vertAlign w:val="baseline"/>
      </w:rPr>
    </w:lvl>
    <w:lvl w:ilvl="1">
      <w:start w:val="1"/>
      <w:numFmt w:val="lowerLetter"/>
      <w:lvlText w:val="%2."/>
      <w:lvlJc w:val="left"/>
      <w:pPr>
        <w:ind w:left="2148" w:hanging="360"/>
      </w:pPr>
      <w:rPr>
        <w:vertAlign w:val="baseline"/>
      </w:rPr>
    </w:lvl>
    <w:lvl w:ilvl="2">
      <w:start w:val="1"/>
      <w:numFmt w:val="lowerRoman"/>
      <w:lvlText w:val="%3."/>
      <w:lvlJc w:val="right"/>
      <w:pPr>
        <w:ind w:left="2868" w:hanging="180"/>
      </w:pPr>
      <w:rPr>
        <w:vertAlign w:val="baseline"/>
      </w:rPr>
    </w:lvl>
    <w:lvl w:ilvl="3">
      <w:start w:val="1"/>
      <w:numFmt w:val="decimal"/>
      <w:lvlText w:val="%4."/>
      <w:lvlJc w:val="left"/>
      <w:pPr>
        <w:ind w:left="3588" w:hanging="360"/>
      </w:pPr>
      <w:rPr>
        <w:vertAlign w:val="baseline"/>
      </w:rPr>
    </w:lvl>
    <w:lvl w:ilvl="4">
      <w:start w:val="1"/>
      <w:numFmt w:val="lowerLetter"/>
      <w:lvlText w:val="%5."/>
      <w:lvlJc w:val="left"/>
      <w:pPr>
        <w:ind w:left="4308" w:hanging="360"/>
      </w:pPr>
      <w:rPr>
        <w:vertAlign w:val="baseline"/>
      </w:rPr>
    </w:lvl>
    <w:lvl w:ilvl="5">
      <w:start w:val="1"/>
      <w:numFmt w:val="lowerRoman"/>
      <w:lvlText w:val="%6."/>
      <w:lvlJc w:val="right"/>
      <w:pPr>
        <w:ind w:left="5028" w:hanging="180"/>
      </w:pPr>
      <w:rPr>
        <w:vertAlign w:val="baseline"/>
      </w:rPr>
    </w:lvl>
    <w:lvl w:ilvl="6">
      <w:start w:val="1"/>
      <w:numFmt w:val="decimal"/>
      <w:lvlText w:val="%7."/>
      <w:lvlJc w:val="left"/>
      <w:pPr>
        <w:ind w:left="5748" w:hanging="360"/>
      </w:pPr>
      <w:rPr>
        <w:vertAlign w:val="baseline"/>
      </w:rPr>
    </w:lvl>
    <w:lvl w:ilvl="7">
      <w:start w:val="1"/>
      <w:numFmt w:val="lowerLetter"/>
      <w:lvlText w:val="%8."/>
      <w:lvlJc w:val="left"/>
      <w:pPr>
        <w:ind w:left="6468" w:hanging="360"/>
      </w:pPr>
      <w:rPr>
        <w:vertAlign w:val="baseline"/>
      </w:rPr>
    </w:lvl>
    <w:lvl w:ilvl="8">
      <w:start w:val="1"/>
      <w:numFmt w:val="lowerRoman"/>
      <w:lvlText w:val="%9."/>
      <w:lvlJc w:val="right"/>
      <w:pPr>
        <w:ind w:left="7188" w:hanging="180"/>
      </w:pPr>
      <w:rPr>
        <w:vertAlign w:val="baseline"/>
      </w:rPr>
    </w:lvl>
  </w:abstractNum>
  <w:abstractNum w:abstractNumId="11">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lowerLetter"/>
      <w:lvlText w:val="%1)"/>
      <w:lvlJc w:val="left"/>
      <w:pPr>
        <w:ind w:left="991" w:hanging="283"/>
      </w:pPr>
      <w:rPr>
        <w:strike w:val="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lowerLetter"/>
      <w:lvlText w:val="%1)"/>
      <w:lvlJc w:val="left"/>
      <w:pPr>
        <w:ind w:left="991" w:hanging="283"/>
      </w:pPr>
      <w:rPr>
        <w:sz w:val="28"/>
        <w:szCs w:val="28"/>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h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ál">
    <w:name w:val="Normál"/>
    <w:next w:val="Normá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hu-HU" w:val="hu-HU"/>
    </w:rPr>
  </w:style>
  <w:style w:type="paragraph" w:styleId="Címsor1">
    <w:name w:val="Címsor 1"/>
    <w:basedOn w:val="Normál"/>
    <w:next w:val="Normál"/>
    <w:autoRedefine w:val="0"/>
    <w:hidden w:val="0"/>
    <w:qFormat w:val="0"/>
    <w:pPr>
      <w:keepNext w:val="1"/>
      <w:suppressAutoHyphens w:val="1"/>
      <w:overflowPunct w:val="0"/>
      <w:autoSpaceDE w:val="0"/>
      <w:autoSpaceDN w:val="0"/>
      <w:adjustRightInd w:val="0"/>
      <w:spacing w:after="60" w:before="240" w:line="1" w:lineRule="atLeast"/>
      <w:ind w:leftChars="-1" w:rightChars="0" w:firstLineChars="-1"/>
      <w:jc w:val="center"/>
      <w:textDirection w:val="btLr"/>
      <w:textAlignment w:val="baseline"/>
      <w:outlineLvl w:val="0"/>
    </w:pPr>
    <w:rPr>
      <w:b w:val="1"/>
      <w:bCs w:val="1"/>
      <w:w w:val="100"/>
      <w:kern w:val="32"/>
      <w:position w:val="-1"/>
      <w:sz w:val="32"/>
      <w:szCs w:val="32"/>
      <w:effect w:val="none"/>
      <w:vertAlign w:val="baseline"/>
      <w:cs w:val="0"/>
      <w:em w:val="none"/>
      <w:lang w:bidi="ar-SA" w:eastAsia="hu-HU" w:val="hu-HU"/>
    </w:rPr>
  </w:style>
  <w:style w:type="paragraph" w:styleId="Címsor2">
    <w:name w:val="Címsor 2"/>
    <w:basedOn w:val="Normál"/>
    <w:next w:val="Normál"/>
    <w:autoRedefine w:val="0"/>
    <w:hidden w:val="0"/>
    <w:qFormat w:val="0"/>
    <w:pPr>
      <w:keepNext w:val="1"/>
      <w:suppressAutoHyphens w:val="1"/>
      <w:overflowPunct w:val="0"/>
      <w:autoSpaceDE w:val="0"/>
      <w:autoSpaceDN w:val="0"/>
      <w:adjustRightInd w:val="0"/>
      <w:spacing w:after="60" w:before="240" w:line="1" w:lineRule="atLeast"/>
      <w:ind w:leftChars="-1" w:rightChars="0" w:firstLineChars="-1"/>
      <w:textDirection w:val="btLr"/>
      <w:textAlignment w:val="baseline"/>
      <w:outlineLvl w:val="1"/>
    </w:pPr>
    <w:rPr>
      <w:b w:val="1"/>
      <w:bCs w:val="1"/>
      <w:iCs w:val="1"/>
      <w:w w:val="100"/>
      <w:position w:val="-1"/>
      <w:sz w:val="28"/>
      <w:szCs w:val="28"/>
      <w:effect w:val="none"/>
      <w:vertAlign w:val="baseline"/>
      <w:cs w:val="0"/>
      <w:em w:val="none"/>
      <w:lang w:bidi="ar-SA" w:eastAsia="hu-HU" w:val="hu-HU"/>
    </w:rPr>
  </w:style>
  <w:style w:type="paragraph" w:styleId="Címsor3">
    <w:name w:val="Címsor 3"/>
    <w:basedOn w:val="Normál"/>
    <w:next w:val="Normál"/>
    <w:autoRedefine w:val="0"/>
    <w:hidden w:val="0"/>
    <w:qFormat w:val="0"/>
    <w:pPr>
      <w:keepNext w:val="1"/>
      <w:suppressAutoHyphens w:val="1"/>
      <w:overflowPunct w:val="0"/>
      <w:autoSpaceDE w:val="0"/>
      <w:autoSpaceDN w:val="0"/>
      <w:adjustRightInd w:val="0"/>
      <w:spacing w:after="60" w:before="240" w:line="1" w:lineRule="atLeast"/>
      <w:ind w:leftChars="-1" w:rightChars="0" w:firstLineChars="-1"/>
      <w:textDirection w:val="btLr"/>
      <w:textAlignment w:val="baseline"/>
      <w:outlineLvl w:val="2"/>
    </w:pPr>
    <w:rPr>
      <w:rFonts w:ascii="Arial" w:cs="Arial" w:hAnsi="Arial"/>
      <w:b w:val="1"/>
      <w:bCs w:val="1"/>
      <w:w w:val="100"/>
      <w:position w:val="-1"/>
      <w:sz w:val="26"/>
      <w:szCs w:val="26"/>
      <w:effect w:val="none"/>
      <w:vertAlign w:val="baseline"/>
      <w:cs w:val="0"/>
      <w:em w:val="none"/>
      <w:lang w:bidi="ar-SA" w:eastAsia="hu-HU" w:val="hu-HU"/>
    </w:rPr>
  </w:style>
  <w:style w:type="paragraph" w:styleId="Címsor5">
    <w:name w:val="Címsor 5"/>
    <w:basedOn w:val="Normál"/>
    <w:next w:val="Normál"/>
    <w:autoRedefine w:val="0"/>
    <w:hidden w:val="0"/>
    <w:qFormat w:val="1"/>
    <w:pPr>
      <w:suppressAutoHyphens w:val="1"/>
      <w:overflowPunct w:val="0"/>
      <w:autoSpaceDE w:val="0"/>
      <w:autoSpaceDN w:val="0"/>
      <w:adjustRightInd w:val="0"/>
      <w:spacing w:after="60" w:before="240" w:line="1" w:lineRule="atLeast"/>
      <w:ind w:leftChars="-1" w:rightChars="0" w:firstLineChars="-1"/>
      <w:textDirection w:val="btLr"/>
      <w:textAlignment w:val="baseline"/>
      <w:outlineLvl w:val="4"/>
    </w:pPr>
    <w:rPr>
      <w:rFonts w:ascii="Calibri" w:cs="Times New Roman" w:eastAsia="Times New Roman" w:hAnsi="Calibri"/>
      <w:b w:val="1"/>
      <w:bCs w:val="1"/>
      <w:i w:val="1"/>
      <w:iCs w:val="1"/>
      <w:w w:val="100"/>
      <w:position w:val="-1"/>
      <w:sz w:val="26"/>
      <w:szCs w:val="26"/>
      <w:effect w:val="none"/>
      <w:vertAlign w:val="baseline"/>
      <w:cs w:val="0"/>
      <w:em w:val="none"/>
      <w:lang w:bidi="ar-SA" w:eastAsia="hu-HU" w:val="hu-HU"/>
    </w:rPr>
  </w:style>
  <w:style w:type="character" w:styleId="Bekezdésalapbetűtípusa">
    <w:name w:val="Bekezdés alapbetűtípusa"/>
    <w:next w:val="Bekezdésalapbetűtípusa"/>
    <w:autoRedefine w:val="0"/>
    <w:hidden w:val="0"/>
    <w:qFormat w:val="0"/>
    <w:rPr>
      <w:w w:val="100"/>
      <w:position w:val="-1"/>
      <w:effect w:val="none"/>
      <w:vertAlign w:val="baseline"/>
      <w:cs w:val="0"/>
      <w:em w:val="none"/>
      <w:lang/>
    </w:rPr>
  </w:style>
  <w:style w:type="table" w:styleId="Normáltáblázat">
    <w:name w:val="Normál táblázat"/>
    <w:next w:val="Normáltáblázat"/>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Normáltáblázat"/>
      <w:jc w:val="left"/>
      <w:tblInd w:w="0.0" w:type="dxa"/>
      <w:tblCellMar>
        <w:top w:w="0.0" w:type="dxa"/>
        <w:left w:w="108.0" w:type="dxa"/>
        <w:bottom w:w="0.0" w:type="dxa"/>
        <w:right w:w="108.0" w:type="dxa"/>
      </w:tblCellMar>
    </w:tblPr>
  </w:style>
  <w:style w:type="numbering" w:styleId="Nemlista">
    <w:name w:val="Nem lista"/>
    <w:next w:val="Nemlista"/>
    <w:autoRedefine w:val="0"/>
    <w:hidden w:val="0"/>
    <w:qFormat w:val="0"/>
    <w:pPr>
      <w:suppressAutoHyphens w:val="1"/>
      <w:spacing w:line="1" w:lineRule="atLeast"/>
      <w:ind w:leftChars="-1" w:rightChars="0" w:firstLineChars="-1"/>
      <w:textDirection w:val="btLr"/>
      <w:textAlignment w:val="top"/>
      <w:outlineLvl w:val="0"/>
    </w:pPr>
  </w:style>
  <w:style w:type="paragraph" w:styleId="Élőláb">
    <w:name w:val="Élőláb"/>
    <w:basedOn w:val="Normál"/>
    <w:next w:val="Élőláb"/>
    <w:autoRedefine w:val="0"/>
    <w:hidden w:val="0"/>
    <w:qFormat w:val="0"/>
    <w:pPr>
      <w:tabs>
        <w:tab w:val="center" w:leader="none" w:pos="4536"/>
        <w:tab w:val="right" w:leader="none" w:pos="9072"/>
      </w:tabs>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hu-HU" w:val="hu-HU"/>
    </w:rPr>
  </w:style>
  <w:style w:type="character" w:styleId="Oldalszám">
    <w:name w:val="Oldalszám"/>
    <w:basedOn w:val="Bekezdésalapbetűtípusa"/>
    <w:next w:val="Oldalszám"/>
    <w:autoRedefine w:val="0"/>
    <w:hidden w:val="0"/>
    <w:qFormat w:val="0"/>
    <w:rPr>
      <w:w w:val="100"/>
      <w:position w:val="-1"/>
      <w:effect w:val="none"/>
      <w:vertAlign w:val="baseline"/>
      <w:cs w:val="0"/>
      <w:em w:val="none"/>
      <w:lang/>
    </w:rPr>
  </w:style>
  <w:style w:type="paragraph" w:styleId="Buborékszöveg">
    <w:name w:val="Buborékszöveg"/>
    <w:basedOn w:val="Normál"/>
    <w:next w:val="Buborékszöveg"/>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Tahoma" w:cs="Tahoma" w:hAnsi="Tahoma"/>
      <w:w w:val="100"/>
      <w:position w:val="-1"/>
      <w:sz w:val="16"/>
      <w:szCs w:val="16"/>
      <w:effect w:val="none"/>
      <w:vertAlign w:val="baseline"/>
      <w:cs w:val="0"/>
      <w:em w:val="none"/>
      <w:lang w:bidi="ar-SA" w:eastAsia="hu-HU" w:val="hu-HU"/>
    </w:rPr>
  </w:style>
  <w:style w:type="table" w:styleId="Rácsostáblázat">
    <w:name w:val="Rácsos táblázat"/>
    <w:basedOn w:val="Normáltáblázat"/>
    <w:next w:val="Rácsostáblázat"/>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rPr>
    <w:tblPr>
      <w:tblStyle w:val="Rácsostáblázat"/>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Jegyzethivatkozás">
    <w:name w:val="Jegyzethivatkozás"/>
    <w:next w:val="Jegyzethivatkozás"/>
    <w:autoRedefine w:val="0"/>
    <w:hidden w:val="0"/>
    <w:qFormat w:val="0"/>
    <w:rPr>
      <w:w w:val="100"/>
      <w:position w:val="-1"/>
      <w:sz w:val="16"/>
      <w:szCs w:val="16"/>
      <w:effect w:val="none"/>
      <w:vertAlign w:val="baseline"/>
      <w:cs w:val="0"/>
      <w:em w:val="none"/>
      <w:lang/>
    </w:rPr>
  </w:style>
  <w:style w:type="paragraph" w:styleId="Jegyzetszöveg">
    <w:name w:val="Jegyzetszöveg"/>
    <w:basedOn w:val="Normál"/>
    <w:next w:val="Jegyzetszöveg"/>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hu-HU" w:val="hu-HU"/>
    </w:rPr>
  </w:style>
  <w:style w:type="character" w:styleId="JegyzetszövegChar">
    <w:name w:val="Jegyzetszöveg Char"/>
    <w:basedOn w:val="Bekezdésalapbetűtípusa"/>
    <w:next w:val="JegyzetszövegChar"/>
    <w:autoRedefine w:val="0"/>
    <w:hidden w:val="0"/>
    <w:qFormat w:val="0"/>
    <w:rPr>
      <w:w w:val="100"/>
      <w:position w:val="-1"/>
      <w:effect w:val="none"/>
      <w:vertAlign w:val="baseline"/>
      <w:cs w:val="0"/>
      <w:em w:val="none"/>
      <w:lang/>
    </w:rPr>
  </w:style>
  <w:style w:type="paragraph" w:styleId="Megjegyzéstárgya">
    <w:name w:val="Megjegyzés tárgya"/>
    <w:basedOn w:val="Jegyzetszöveg"/>
    <w:next w:val="Jegyzetszöveg"/>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b w:val="1"/>
      <w:bCs w:val="1"/>
      <w:w w:val="100"/>
      <w:position w:val="-1"/>
      <w:effect w:val="none"/>
      <w:vertAlign w:val="baseline"/>
      <w:cs w:val="0"/>
      <w:em w:val="none"/>
      <w:lang w:bidi="ar-SA" w:eastAsia="hu-HU" w:val="hu-HU"/>
    </w:rPr>
  </w:style>
  <w:style w:type="character" w:styleId="MegjegyzéstárgyaChar">
    <w:name w:val="Megjegyzés tárgya Char"/>
    <w:next w:val="MegjegyzéstárgyaChar"/>
    <w:autoRedefine w:val="0"/>
    <w:hidden w:val="0"/>
    <w:qFormat w:val="0"/>
    <w:rPr>
      <w:b w:val="1"/>
      <w:bCs w:val="1"/>
      <w:w w:val="100"/>
      <w:position w:val="-1"/>
      <w:effect w:val="none"/>
      <w:vertAlign w:val="baseline"/>
      <w:cs w:val="0"/>
      <w:em w:val="none"/>
      <w:lang/>
    </w:rPr>
  </w:style>
  <w:style w:type="paragraph" w:styleId="Élőfej">
    <w:name w:val="Élőfej"/>
    <w:basedOn w:val="Normál"/>
    <w:next w:val="Élőfej"/>
    <w:autoRedefine w:val="0"/>
    <w:hidden w:val="0"/>
    <w:qFormat w:val="0"/>
    <w:pPr>
      <w:tabs>
        <w:tab w:val="center" w:leader="none" w:pos="4536"/>
        <w:tab w:val="right" w:leader="none" w:pos="9072"/>
      </w:tabs>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hu-HU" w:val="hu-HU"/>
    </w:rPr>
  </w:style>
  <w:style w:type="character" w:styleId="ÉlőfejChar">
    <w:name w:val="Élőfej Char"/>
    <w:basedOn w:val="Bekezdésalapbetűtípusa"/>
    <w:next w:val="ÉlőfejChar"/>
    <w:autoRedefine w:val="0"/>
    <w:hidden w:val="0"/>
    <w:qFormat w:val="0"/>
    <w:rPr>
      <w:w w:val="100"/>
      <w:position w:val="-1"/>
      <w:effect w:val="none"/>
      <w:vertAlign w:val="baseline"/>
      <w:cs w:val="0"/>
      <w:em w:val="none"/>
      <w:lang/>
    </w:rPr>
  </w:style>
  <w:style w:type="paragraph" w:styleId="Változat">
    <w:name w:val="Változat"/>
    <w:next w:val="Változat"/>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hu-HU" w:val="hu-HU"/>
    </w:rPr>
  </w:style>
  <w:style w:type="paragraph" w:styleId="5.szint">
    <w:name w:val="5.szint"/>
    <w:basedOn w:val="Címsor5"/>
    <w:next w:val="5.szint"/>
    <w:autoRedefine w:val="0"/>
    <w:hidden w:val="0"/>
    <w:qFormat w:val="0"/>
    <w:pPr>
      <w:tabs>
        <w:tab w:val="num" w:leader="none" w:pos="720"/>
        <w:tab w:val="left" w:leader="none" w:pos="3240"/>
      </w:tabs>
      <w:suppressAutoHyphens w:val="0"/>
      <w:overflowPunct w:val="1"/>
      <w:autoSpaceDE w:val="1"/>
      <w:autoSpaceDN w:val="1"/>
      <w:adjustRightInd w:val="1"/>
      <w:spacing w:after="0" w:before="0" w:line="1" w:lineRule="atLeast"/>
      <w:ind w:left="1620" w:leftChars="-1" w:rightChars="0" w:hanging="177" w:firstLineChars="-1"/>
      <w:textDirection w:val="btLr"/>
      <w:textAlignment w:val="auto"/>
      <w:outlineLvl w:val="4"/>
    </w:pPr>
    <w:rPr>
      <w:rFonts w:ascii="Times New Roman" w:cs="Times New Roman" w:eastAsia="Times New Roman" w:hAnsi="Times New Roman"/>
      <w:b w:val="0"/>
      <w:bCs w:val="1"/>
      <w:i w:val="0"/>
      <w:iCs w:val="1"/>
      <w:w w:val="100"/>
      <w:position w:val="-1"/>
      <w:sz w:val="24"/>
      <w:szCs w:val="24"/>
      <w:effect w:val="none"/>
      <w:vertAlign w:val="baseline"/>
      <w:cs w:val="0"/>
      <w:em w:val="none"/>
      <w:lang w:bidi="ar-SA" w:eastAsia="ar-SA" w:val="hu-HU"/>
    </w:rPr>
  </w:style>
  <w:style w:type="character" w:styleId="Címsor5Char">
    <w:name w:val="Címsor 5 Char"/>
    <w:next w:val="Címsor5Char"/>
    <w:autoRedefine w:val="0"/>
    <w:hidden w:val="0"/>
    <w:qFormat w:val="0"/>
    <w:rPr>
      <w:rFonts w:ascii="Calibri" w:cs="Times New Roman" w:eastAsia="Times New Roman" w:hAnsi="Calibri"/>
      <w:b w:val="1"/>
      <w:bCs w:val="1"/>
      <w:i w:val="1"/>
      <w:iCs w:val="1"/>
      <w:w w:val="100"/>
      <w:position w:val="-1"/>
      <w:sz w:val="26"/>
      <w:szCs w:val="26"/>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8LL40pwBTFj3asjMf8EHP5suoA==">CgMxLjAyDmgubTdwajA2Z3hlcDF6OAByITFhTDRzMkRfY2Jzb29IS3p5WEd6MGZhT1pQQVFCN3pMaw==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2023-11-30T08:24:00Z</dcterms:created>
  <dc:creator>Hegyközség</dc:creator>
</cp:coreProperties>
</file>