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ACCORD DE CONFIDENTIALITÉ</w:t>
      </w:r>
    </w:p>
    <w:p w:rsidR="00000000" w:rsidDel="00000000" w:rsidP="00000000" w:rsidRDefault="00000000" w:rsidRPr="00000000" w14:paraId="0000000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(ci-après dénommé le « NDA »)</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conclu le [</w:t>
      </w:r>
      <w:r w:rsidDel="00000000" w:rsidR="00000000" w:rsidRPr="00000000">
        <w:rPr>
          <w:rFonts w:ascii="Times New Roman" w:cs="Times New Roman" w:eastAsia="Times New Roman" w:hAnsi="Times New Roman"/>
          <w:sz w:val="20"/>
          <w:szCs w:val="20"/>
          <w:highlight w:val="yellow"/>
          <w:rtl w:val="0"/>
        </w:rPr>
        <w:t xml:space="preserve">date</w:t>
      </w:r>
      <w:r w:rsidDel="00000000" w:rsidR="00000000" w:rsidRPr="00000000">
        <w:rPr>
          <w:rFonts w:ascii="Times New Roman" w:cs="Times New Roman" w:eastAsia="Times New Roman" w:hAnsi="Times New Roman"/>
          <w:sz w:val="20"/>
          <w:szCs w:val="20"/>
          <w:rtl w:val="0"/>
        </w:rPr>
        <w:t xml:space="preserve">] à [</w:t>
      </w:r>
      <w:r w:rsidDel="00000000" w:rsidR="00000000" w:rsidRPr="00000000">
        <w:rPr>
          <w:rFonts w:ascii="Times New Roman" w:cs="Times New Roman" w:eastAsia="Times New Roman" w:hAnsi="Times New Roman"/>
          <w:sz w:val="20"/>
          <w:szCs w:val="20"/>
          <w:highlight w:val="yellow"/>
          <w:rtl w:val="0"/>
        </w:rPr>
        <w:t xml:space="preserv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entre :</w:t>
      </w:r>
    </w:p>
    <w:p w:rsidR="00000000" w:rsidDel="00000000" w:rsidP="00000000" w:rsidRDefault="00000000" w:rsidRPr="00000000" w14:paraId="0000000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BidFinance sp. z o.o. </w:t>
      </w:r>
      <w:r w:rsidDel="00000000" w:rsidR="00000000" w:rsidRPr="00000000">
        <w:rPr>
          <w:rFonts w:ascii="Times New Roman" w:cs="Times New Roman" w:eastAsia="Times New Roman" w:hAnsi="Times New Roman"/>
          <w:sz w:val="20"/>
          <w:szCs w:val="20"/>
          <w:rtl w:val="0"/>
        </w:rPr>
        <w:t xml:space="preserve">(société à responsabilité limitée) dont le siège social est situé à Cracovie (adresse : ul. Kącik 4, 30-549 Cracovie, Pologne), immatriculée au Registre national des entreprises (KRS) dirigé par le Tribunal d`Arrondissement de Cracovie-Centre à Cracovie, Section XI</w:t>
      </w:r>
      <w:r w:rsidDel="00000000" w:rsidR="00000000" w:rsidRPr="00000000">
        <w:rPr>
          <w:rFonts w:ascii="Times New Roman" w:cs="Times New Roman" w:eastAsia="Times New Roman" w:hAnsi="Times New Roman"/>
          <w:sz w:val="20"/>
          <w:szCs w:val="20"/>
          <w:vertAlign w:val="superscript"/>
          <w:rtl w:val="0"/>
        </w:rPr>
        <w:t xml:space="preserve">ème</w:t>
      </w:r>
      <w:r w:rsidDel="00000000" w:rsidR="00000000" w:rsidRPr="00000000">
        <w:rPr>
          <w:rFonts w:ascii="Times New Roman" w:cs="Times New Roman" w:eastAsia="Times New Roman" w:hAnsi="Times New Roman"/>
          <w:sz w:val="20"/>
          <w:szCs w:val="20"/>
          <w:rtl w:val="0"/>
        </w:rPr>
        <w:t xml:space="preserve"> de Commerce sous le numéro : 0000975000, NIP (numéro d'identification fiscale) : 6793240675, REGON: 522206447, n</w:t>
      </w:r>
      <w:r w:rsidDel="00000000" w:rsidR="00000000" w:rsidRPr="00000000">
        <w:rPr>
          <w:rFonts w:ascii="Times New Roman" w:cs="Times New Roman" w:eastAsia="Times New Roman" w:hAnsi="Times New Roman"/>
          <w:sz w:val="20"/>
          <w:szCs w:val="20"/>
          <w:vertAlign w:val="superscript"/>
          <w:rtl w:val="0"/>
        </w:rPr>
        <w:t xml:space="preserve">o</w:t>
      </w:r>
      <w:r w:rsidDel="00000000" w:rsidR="00000000" w:rsidRPr="00000000">
        <w:rPr>
          <w:rFonts w:ascii="Times New Roman" w:cs="Times New Roman" w:eastAsia="Times New Roman" w:hAnsi="Times New Roman"/>
          <w:sz w:val="20"/>
          <w:szCs w:val="20"/>
          <w:rtl w:val="0"/>
        </w:rPr>
        <w:t xml:space="preserve"> de TVA : [...], au capital social de 33.250,00 PLN, </w:t>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représentée par :</w:t>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Yevgen Karastoyanov – Président du Conseil d’Administration</w:t>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ci-après dénommée « </w:t>
      </w:r>
      <w:r w:rsidDel="00000000" w:rsidR="00000000" w:rsidRPr="00000000">
        <w:rPr>
          <w:rFonts w:ascii="Times New Roman" w:cs="Times New Roman" w:eastAsia="Times New Roman" w:hAnsi="Times New Roman"/>
          <w:b w:val="1"/>
          <w:bCs w:val="1"/>
          <w:sz w:val="20"/>
          <w:szCs w:val="20"/>
          <w:rtl w:val="0"/>
        </w:rPr>
        <w:t xml:space="preserve">BidFinance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w:t>
      </w:r>
    </w:p>
    <w:p w:rsidR="00000000" w:rsidDel="00000000" w:rsidP="00000000" w:rsidRDefault="00000000" w:rsidRPr="00000000" w14:paraId="0000001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yellow"/>
          <w:rtl w:val="0"/>
        </w:rPr>
        <w:t xml:space="preserve">Nom de la Société</w:t>
      </w:r>
      <w:r w:rsidDel="00000000" w:rsidR="00000000" w:rsidRPr="00000000">
        <w:rPr>
          <w:rFonts w:ascii="Times New Roman" w:cs="Times New Roman" w:eastAsia="Times New Roman" w:hAnsi="Times New Roman"/>
          <w:sz w:val="20"/>
          <w:szCs w:val="20"/>
          <w:rtl w:val="0"/>
        </w:rPr>
        <w:t xml:space="preserve">], dont le siège social est situé [</w:t>
      </w:r>
      <w:r w:rsidDel="00000000" w:rsidR="00000000" w:rsidRPr="00000000">
        <w:rPr>
          <w:rFonts w:ascii="Times New Roman" w:cs="Times New Roman" w:eastAsia="Times New Roman" w:hAnsi="Times New Roman"/>
          <w:sz w:val="20"/>
          <w:szCs w:val="20"/>
          <w:highlight w:val="yellow"/>
          <w:rtl w:val="0"/>
        </w:rPr>
        <w:t xml:space="preserve">Nom de la Rue, Code Postal, Ville</w:t>
      </w:r>
      <w:r w:rsidDel="00000000" w:rsidR="00000000" w:rsidRPr="00000000">
        <w:rPr>
          <w:rFonts w:ascii="Times New Roman" w:cs="Times New Roman" w:eastAsia="Times New Roman" w:hAnsi="Times New Roman"/>
          <w:sz w:val="20"/>
          <w:szCs w:val="20"/>
          <w:rtl w:val="0"/>
        </w:rPr>
        <w:t xml:space="preserve">], identifiée fiscalement sous le numéro [</w:t>
      </w:r>
      <w:r w:rsidDel="00000000" w:rsidR="00000000" w:rsidRPr="00000000">
        <w:rPr>
          <w:rFonts w:ascii="Times New Roman" w:cs="Times New Roman" w:eastAsia="Times New Roman" w:hAnsi="Times New Roman"/>
          <w:sz w:val="20"/>
          <w:szCs w:val="20"/>
          <w:highlight w:val="yellow"/>
          <w:rtl w:val="0"/>
        </w:rPr>
        <w:t xml:space="preserve">xxx-xxx-xxx</w:t>
      </w:r>
      <w:r w:rsidDel="00000000" w:rsidR="00000000" w:rsidRPr="00000000">
        <w:rPr>
          <w:rFonts w:ascii="Times New Roman" w:cs="Times New Roman" w:eastAsia="Times New Roman" w:hAnsi="Times New Roman"/>
          <w:sz w:val="20"/>
          <w:szCs w:val="20"/>
          <w:rtl w:val="0"/>
        </w:rPr>
        <w:t xml:space="preserve">], au capital social de [</w:t>
      </w:r>
      <w:r w:rsidDel="00000000" w:rsidR="00000000" w:rsidRPr="00000000">
        <w:rPr>
          <w:rFonts w:ascii="Times New Roman" w:cs="Times New Roman" w:eastAsia="Times New Roman" w:hAnsi="Times New Roman"/>
          <w:sz w:val="20"/>
          <w:szCs w:val="20"/>
          <w:highlight w:val="yellow"/>
          <w:rtl w:val="0"/>
        </w:rPr>
        <w:t xml:space="preserve">montant du capital social</w:t>
      </w:r>
      <w:r w:rsidDel="00000000" w:rsidR="00000000" w:rsidRPr="00000000">
        <w:rPr>
          <w:rFonts w:ascii="Times New Roman" w:cs="Times New Roman" w:eastAsia="Times New Roman" w:hAnsi="Times New Roman"/>
          <w:sz w:val="20"/>
          <w:szCs w:val="20"/>
          <w:rtl w:val="0"/>
        </w:rPr>
        <w:t xml:space="preserve">] euros entièrement libéré, représentée par :</w:t>
      </w:r>
    </w:p>
    <w:p w:rsidR="00000000" w:rsidDel="00000000" w:rsidP="00000000" w:rsidRDefault="00000000" w:rsidRPr="00000000" w14:paraId="0000001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[nom] – [fonction]</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ci-après dénommée le « </w:t>
      </w:r>
      <w:r w:rsidDel="00000000" w:rsidR="00000000" w:rsidRPr="00000000">
        <w:rPr>
          <w:rFonts w:ascii="Times New Roman" w:cs="Times New Roman" w:eastAsia="Times New Roman" w:hAnsi="Times New Roman"/>
          <w:b w:val="1"/>
          <w:bCs w:val="1"/>
          <w:sz w:val="20"/>
          <w:szCs w:val="20"/>
          <w:rtl w:val="0"/>
        </w:rPr>
        <w:t xml:space="preserve">Partenaire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ci-après désignées collectivement les « </w:t>
      </w:r>
      <w:r w:rsidDel="00000000" w:rsidR="00000000" w:rsidRPr="00000000">
        <w:rPr>
          <w:rFonts w:ascii="Times New Roman" w:cs="Times New Roman" w:eastAsia="Times New Roman" w:hAnsi="Times New Roman"/>
          <w:b w:val="1"/>
          <w:bCs w:val="1"/>
          <w:sz w:val="20"/>
          <w:szCs w:val="20"/>
          <w:rtl w:val="0"/>
        </w:rPr>
        <w:t xml:space="preserve">Parties</w:t>
      </w:r>
      <w:r w:rsidDel="00000000" w:rsidR="00000000" w:rsidRPr="00000000">
        <w:rPr>
          <w:rFonts w:ascii="Times New Roman" w:cs="Times New Roman" w:eastAsia="Times New Roman" w:hAnsi="Times New Roman"/>
          <w:sz w:val="20"/>
          <w:szCs w:val="20"/>
          <w:rtl w:val="0"/>
        </w:rPr>
        <w:t xml:space="preserve"> » et individuellement une « </w:t>
      </w:r>
      <w:r w:rsidDel="00000000" w:rsidR="00000000" w:rsidRPr="00000000">
        <w:rPr>
          <w:rFonts w:ascii="Times New Roman" w:cs="Times New Roman" w:eastAsia="Times New Roman" w:hAnsi="Times New Roman"/>
          <w:b w:val="1"/>
          <w:bCs w:val="1"/>
          <w:sz w:val="20"/>
          <w:szCs w:val="20"/>
          <w:rtl w:val="0"/>
        </w:rPr>
        <w:t xml:space="preserve">Partie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Considérant que :</w:t>
      </w:r>
    </w:p>
    <w:p w:rsidR="00000000" w:rsidDel="00000000" w:rsidP="00000000" w:rsidRDefault="00000000" w:rsidRPr="00000000" w14:paraId="0000001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Parties envisagent d’établir une coopération dans le cadre de la plateforme d’échange de portefeuilles de créances exploitée par BidFinance et accessible à l’adresse </w:t>
      </w:r>
      <w:hyperlink r:id="rId6">
        <w:r w:rsidDel="00000000" w:rsidR="00000000" w:rsidRPr="00000000">
          <w:rPr>
            <w:rFonts w:ascii="Times New Roman" w:cs="Times New Roman" w:eastAsia="Times New Roman" w:hAnsi="Times New Roman"/>
            <w:color w:val="0000ff"/>
            <w:sz w:val="20"/>
            <w:szCs w:val="20"/>
            <w:u w:val="single"/>
            <w:rtl w:val="0"/>
          </w:rPr>
          <w:t xml:space="preserve">www.bidfinance.eu</w:t>
        </w:r>
      </w:hyperlink>
      <w:r w:rsidDel="00000000" w:rsidR="00000000" w:rsidRPr="00000000">
        <w:rPr>
          <w:rFonts w:ascii="Times New Roman" w:cs="Times New Roman" w:eastAsia="Times New Roman" w:hAnsi="Times New Roman"/>
          <w:sz w:val="20"/>
          <w:szCs w:val="20"/>
          <w:rtl w:val="0"/>
        </w:rPr>
        <w:t xml:space="preserve"> (ci-après dénommée la « </w:t>
      </w:r>
      <w:r w:rsidDel="00000000" w:rsidR="00000000" w:rsidRPr="00000000">
        <w:rPr>
          <w:rFonts w:ascii="Times New Roman" w:cs="Times New Roman" w:eastAsia="Times New Roman" w:hAnsi="Times New Roman"/>
          <w:b w:val="1"/>
          <w:bCs w:val="1"/>
          <w:sz w:val="20"/>
          <w:szCs w:val="20"/>
          <w:rtl w:val="0"/>
        </w:rPr>
        <w:t xml:space="preserve">Plateforme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D">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Dans le cadre des négociations relatives à la coopération et à l’accès à la Plateforme, chaque Partie pourra avoir accès à des informations confidentielles,</w:t>
      </w:r>
    </w:p>
    <w:p w:rsidR="00000000" w:rsidDel="00000000" w:rsidP="00000000" w:rsidRDefault="00000000" w:rsidRPr="00000000" w14:paraId="0000001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color w:val="0e0e0e"/>
          <w:sz w:val="21"/>
          <w:szCs w:val="21"/>
        </w:rPr>
      </w:pPr>
      <w:r w:rsidDel="00000000" w:rsidR="00000000" w:rsidRPr="00000000">
        <w:rPr>
          <w:rFonts w:ascii="Times New Roman" w:cs="Times New Roman" w:eastAsia="Times New Roman" w:hAnsi="Times New Roman"/>
          <w:sz w:val="20"/>
          <w:szCs w:val="20"/>
          <w:rtl w:val="0"/>
        </w:rPr>
        <w:t xml:space="preserve">Les Parties sont convenues de ce qui suit :</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color w:val="0e0e0e"/>
          <w:sz w:val="21"/>
          <w:szCs w:val="21"/>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1</w:t>
      </w:r>
    </w:p>
    <w:p w:rsidR="00000000" w:rsidDel="00000000" w:rsidP="00000000" w:rsidRDefault="00000000" w:rsidRPr="00000000" w14:paraId="00000023">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4">
      <w:pPr>
        <w:spacing w:line="240" w:lineRule="auto"/>
        <w:ind w:left="360" w:firstLine="0"/>
        <w:jc w:val="both"/>
        <w:rPr>
          <w:color w:val="ffffff"/>
        </w:rPr>
      </w:pPr>
      <w:bookmarkStart w:colFirst="0" w:colLast="0" w:name="_4lyrnt7yffu7" w:id="0"/>
      <w:bookmarkEnd w:id="0"/>
      <w:r w:rsidDel="00000000" w:rsidR="00000000" w:rsidRPr="00000000">
        <w:rPr>
          <w:rFonts w:ascii="Times New Roman" w:cs="Times New Roman" w:eastAsia="Times New Roman" w:hAnsi="Times New Roman"/>
          <w:sz w:val="20"/>
          <w:szCs w:val="20"/>
          <w:rtl w:val="0"/>
        </w:rPr>
        <w:t xml:space="preserve">Le terme </w:t>
      </w:r>
      <w:r w:rsidDel="00000000" w:rsidR="00000000" w:rsidRPr="00000000">
        <w:rPr>
          <w:rFonts w:ascii="Times New Roman" w:cs="Times New Roman" w:eastAsia="Times New Roman" w:hAnsi="Times New Roman"/>
          <w:b w:val="1"/>
          <w:bCs w:val="1"/>
          <w:sz w:val="20"/>
          <w:szCs w:val="20"/>
          <w:rtl w:val="0"/>
        </w:rPr>
        <w:t xml:space="preserve">« Information Confidentielle</w:t>
      </w:r>
      <w:r w:rsidDel="00000000" w:rsidR="00000000" w:rsidRPr="00000000">
        <w:rPr>
          <w:rFonts w:ascii="Times New Roman" w:cs="Times New Roman" w:eastAsia="Times New Roman" w:hAnsi="Times New Roman"/>
          <w:sz w:val="20"/>
          <w:szCs w:val="20"/>
          <w:rtl w:val="0"/>
        </w:rPr>
        <w:t xml:space="preserve"> » désigne toute information de nature confidentielle, quelle qu’en soit la forme (notamment orale, écrite ou électronique), identifiée comme confidentielle ou dont les circonstances de la divulgation indiquent le caractère confidentiel, reçue par l’une des Parties (ci-après dénommée la « </w:t>
      </w:r>
      <w:r w:rsidDel="00000000" w:rsidR="00000000" w:rsidRPr="00000000">
        <w:rPr>
          <w:rFonts w:ascii="Times New Roman" w:cs="Times New Roman" w:eastAsia="Times New Roman" w:hAnsi="Times New Roman"/>
          <w:b w:val="1"/>
          <w:bCs w:val="1"/>
          <w:sz w:val="20"/>
          <w:szCs w:val="20"/>
          <w:rtl w:val="0"/>
        </w:rPr>
        <w:t xml:space="preserve">Partie Réceptrice</w:t>
      </w:r>
      <w:r w:rsidDel="00000000" w:rsidR="00000000" w:rsidRPr="00000000">
        <w:rPr>
          <w:rFonts w:ascii="Times New Roman" w:cs="Times New Roman" w:eastAsia="Times New Roman" w:hAnsi="Times New Roman"/>
          <w:sz w:val="20"/>
          <w:szCs w:val="20"/>
          <w:rtl w:val="0"/>
        </w:rPr>
        <w:t xml:space="preserve"> ») dans le cadre des négociations ou de la mise en place d’une coopération avec l’autre Partie (ci-après dénommée la « </w:t>
      </w:r>
      <w:r w:rsidDel="00000000" w:rsidR="00000000" w:rsidRPr="00000000">
        <w:rPr>
          <w:rFonts w:ascii="Times New Roman" w:cs="Times New Roman" w:eastAsia="Times New Roman" w:hAnsi="Times New Roman"/>
          <w:b w:val="1"/>
          <w:bCs w:val="1"/>
          <w:sz w:val="20"/>
          <w:szCs w:val="20"/>
          <w:rtl w:val="0"/>
        </w:rPr>
        <w:t xml:space="preserve">Partie Émettrice</w:t>
      </w:r>
      <w:r w:rsidDel="00000000" w:rsidR="00000000" w:rsidRPr="00000000">
        <w:rPr>
          <w:rFonts w:ascii="Times New Roman" w:cs="Times New Roman" w:eastAsia="Times New Roman" w:hAnsi="Times New Roman"/>
          <w:sz w:val="20"/>
          <w:szCs w:val="20"/>
          <w:rtl w:val="0"/>
        </w:rPr>
        <w:t xml:space="preserve"> »), notamment dans le contexte de l’utilisation de la Plateforme. Les Informations Confidentielles comprennent notamment les données relatives aux portefeuilles de créances échangés ou destinés à être proposés sur la Plateforme, à son fonctionnement ou à la coopération entre les Parties, y compris, sans s’y limiter, les informations constituant un secret d’affaires, à savoir notamment des informations techniques, technologiques, organisationnelles ou autres concernant l’entreprise, ayant une valeur commerciale, qui, dans leur ensemble ou en raison d’une combinaison particulière d’éléments, ne sont pas généralement connues ni aisément accessibles aux personnes habituellement confrontées à ce type d’informations, à condition que l’entité habilitée à utiliser ces informations ou à en disposer ait pris, avec la diligence requise, les mesures nécessaires pour en préserver la confidentialité.Sont également considérées comme Informations Confidentielles les informations relatives aux partenaires commerciaux, fournisseurs, technologies, production, plans commerciaux, finances, ressources humaines, rémunérations, contrats conclus, services fournis, produits livrés, logiciels, technologies, coûts d’exploitation, négociations en cours, ainsi que toute autre information non divulguée au public et protégée légalement en tant que secret d’une Partie</w:t>
      </w:r>
      <w:r w:rsidDel="00000000" w:rsidR="00000000" w:rsidRPr="00000000">
        <w:rPr>
          <w:rtl w:val="0"/>
        </w:rPr>
      </w:r>
    </w:p>
    <w:p w:rsidR="00000000" w:rsidDel="00000000" w:rsidP="00000000" w:rsidRDefault="00000000" w:rsidRPr="00000000" w14:paraId="00000025">
      <w:pPr>
        <w:spacing w:line="240" w:lineRule="auto"/>
        <w:ind w:left="36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Partie Réceptrice des Informations Confidentielles s’engage à :</w:t>
      </w:r>
    </w:p>
    <w:p w:rsidR="00000000" w:rsidDel="00000000" w:rsidP="00000000" w:rsidRDefault="00000000" w:rsidRPr="00000000" w14:paraId="00000027">
      <w:pPr>
        <w:numPr>
          <w:ilvl w:val="0"/>
          <w:numId w:val="3"/>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s’abstenir de transmettre ou de divulguer les Informations Confidentielles à des entités non autorisées, conformément au présent NDA ;</w:t>
      </w:r>
    </w:p>
    <w:p w:rsidR="00000000" w:rsidDel="00000000" w:rsidP="00000000" w:rsidRDefault="00000000" w:rsidRPr="00000000" w14:paraId="00000028">
      <w:pPr>
        <w:numPr>
          <w:ilvl w:val="0"/>
          <w:numId w:val="3"/>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 pas utiliser les Informations Confidentielles à des fins autres que celles des négociations et, par la suite, de la mise en œuvre de la coopération entre les Parties ;</w:t>
      </w:r>
    </w:p>
    <w:p w:rsidR="00000000" w:rsidDel="00000000" w:rsidP="00000000" w:rsidRDefault="00000000" w:rsidRPr="00000000" w14:paraId="00000029">
      <w:pPr>
        <w:numPr>
          <w:ilvl w:val="0"/>
          <w:numId w:val="3"/>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traiter les Informations Confidentielles et leurs supports de manière à garantir un niveau de protection approprié contre la perte, la divulgation, l’accès, le traitement et la modification par des personnes non autorisées ;</w:t>
      </w:r>
    </w:p>
    <w:p w:rsidR="00000000" w:rsidDel="00000000" w:rsidP="00000000" w:rsidRDefault="00000000" w:rsidRPr="00000000" w14:paraId="0000002A">
      <w:pPr>
        <w:numPr>
          <w:ilvl w:val="0"/>
          <w:numId w:val="3"/>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 communiquer les Informations Confidentielles qu’aux employés, collaborateurs, sous-traitants et conseillers pour lesquels cet accès est indispensable à l’exécution des tâches liées aux négociations, et par la suite, aux missions découlant de la coopération entre les Parties (selon le principe du « besoin d’en connaître »), tout en veillant au respect des règles de protection des Informations Confidentielles et en s’assurant que ces personnes ou entités soient elles-mêmes tenues à une obligation de confidentialité.</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Partie Réceptrice est responsable de toute violation des dispositions du présent NDA par les personnes ou entités visées au point 2 du présent paragraphe, comme si ces actes ou omissions étaient les siens propres.</w:t>
      </w:r>
    </w:p>
    <w:p w:rsidR="00000000" w:rsidDel="00000000" w:rsidP="00000000" w:rsidRDefault="00000000" w:rsidRPr="00000000" w14:paraId="0000002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2</w:t>
      </w:r>
    </w:p>
    <w:p w:rsidR="00000000" w:rsidDel="00000000" w:rsidP="00000000" w:rsidRDefault="00000000" w:rsidRPr="00000000" w14:paraId="0000002F">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0">
      <w:pPr>
        <w:numPr>
          <w:ilvl w:val="0"/>
          <w:numId w:val="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L’obligation de confidentialité relative aux Informations Confidentielles ne s’applique pas dans les cas où la divulgation de ces informations à des tiers résulte de dispositions légales applicables, notamment lorsque la divulgation des Informations Confidentielles est effectuée à la demande des autorités administratives ou des instances judiciaires. </w:t>
      </w:r>
    </w:p>
    <w:p w:rsidR="00000000" w:rsidDel="00000000" w:rsidP="00000000" w:rsidRDefault="00000000" w:rsidRPr="00000000" w14:paraId="00000031">
      <w:pPr>
        <w:numPr>
          <w:ilvl w:val="0"/>
          <w:numId w:val="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Partie Réceptrice est tenue d’informer sans délai la Partie Émettrice de toute demande allant dans ce sens-là, sauf interdiction résultant des dispositions légales applicables ou de la décision de l’autorité à l’origine de ladite demande de divulgation. </w:t>
      </w:r>
    </w:p>
    <w:p w:rsidR="00000000" w:rsidDel="00000000" w:rsidP="00000000" w:rsidRDefault="00000000" w:rsidRPr="00000000" w14:paraId="00000032">
      <w:pPr>
        <w:numPr>
          <w:ilvl w:val="0"/>
          <w:numId w:val="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Dans la mesure du possible, cette notification devra être effectuée avant la communication des Informations Confidentielles. </w:t>
      </w:r>
    </w:p>
    <w:p w:rsidR="00000000" w:rsidDel="00000000" w:rsidP="00000000" w:rsidRDefault="00000000" w:rsidRPr="00000000" w14:paraId="00000033">
      <w:pPr>
        <w:numPr>
          <w:ilvl w:val="0"/>
          <w:numId w:val="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dispositions du présent NDA ne s’appliquent pas aux Informations Confidentielles, ou à toute partie de celles-ci, si ces Informations Confidentielles sont de notoriété publique ou sont devenues publiques dans des circonstances n’impliquant aucune conduite illicite.</w:t>
      </w:r>
    </w:p>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3</w:t>
      </w:r>
    </w:p>
    <w:p w:rsidR="00000000" w:rsidDel="00000000" w:rsidP="00000000" w:rsidRDefault="00000000" w:rsidRPr="00000000" w14:paraId="00000037">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8">
      <w:pPr>
        <w:numPr>
          <w:ilvl w:val="0"/>
          <w:numId w:val="8"/>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divulgation de toute Information Confidentielle n’entraîne aucun transfert de droits de propriété intellectuelle (en particulier de droits d’auteur ou de droits de propriété industrielle).</w:t>
      </w:r>
    </w:p>
    <w:p w:rsidR="00000000" w:rsidDel="00000000" w:rsidP="00000000" w:rsidRDefault="00000000" w:rsidRPr="00000000" w14:paraId="0000003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4</w:t>
      </w:r>
    </w:p>
    <w:p w:rsidR="00000000" w:rsidDel="00000000" w:rsidP="00000000" w:rsidRDefault="00000000" w:rsidRPr="00000000" w14:paraId="0000003C">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D">
      <w:pPr>
        <w:numPr>
          <w:ilvl w:val="0"/>
          <w:numId w:val="5"/>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 de violation du présent NDA par la Partie Réceptrice, notamment par la divulgation ou l’utilisation non autorisée des Informations Confidentielles, la Partie Réceptrice sera tenue de verser à la Partie Émettrice une pénalité contractuelle d’un montant de 5 000 EUR (ci : cinq mille euros) pour chaque cas de violation. La pénalité contractuelle sera exigible dans un délai de 14 jours à compter de la date de réception de la demande de paiement.</w:t>
      </w:r>
    </w:p>
    <w:p w:rsidR="00000000" w:rsidDel="00000000" w:rsidP="00000000" w:rsidRDefault="00000000" w:rsidRPr="00000000" w14:paraId="0000003E">
      <w:pPr>
        <w:numPr>
          <w:ilvl w:val="0"/>
          <w:numId w:val="5"/>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Nonobstant la demande de paiement de la pénalité contractuelle, en cas de violation du présent NDA par la Partie Réceptrice, la Partie Émettrice se réserve le droit de réclamer des dommages-intérêts sur la base des principes généraux, dans la limite du préjudice effectivement subi.</w:t>
      </w:r>
    </w:p>
    <w:p w:rsidR="00000000" w:rsidDel="00000000" w:rsidP="00000000" w:rsidRDefault="00000000" w:rsidRPr="00000000" w14:paraId="0000003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5</w:t>
      </w:r>
    </w:p>
    <w:p w:rsidR="00000000" w:rsidDel="00000000" w:rsidP="00000000" w:rsidRDefault="00000000" w:rsidRPr="00000000" w14:paraId="00000042">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3">
      <w:pPr>
        <w:numPr>
          <w:ilvl w:val="0"/>
          <w:numId w:val="7"/>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L’Accord de confidentialité est conclu pour une durée déterminée, à compter de sa signature et jusqu’à l’expiration d’un délai de 48 mois à compter de la date de cessation ou d’expiration de la coopération entre les Parties.En raison de la nature des droits et obligations définis dans le présent NDA, ceux-ci ne peuvent être cédés ou transférés, en tout ou en partie, à des tiers sans l’accord préalable et écrit de l’autre Partie. </w:t>
      </w:r>
    </w:p>
    <w:p w:rsidR="00000000" w:rsidDel="00000000" w:rsidP="00000000" w:rsidRDefault="00000000" w:rsidRPr="00000000" w14:paraId="00000044">
      <w:pPr>
        <w:numPr>
          <w:ilvl w:val="0"/>
          <w:numId w:val="7"/>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Partie Réceptrice est autorisée à conserver les Informations Confidentielles dans la mesure nécessaire au respect des obligations légales, comptables, ainsi qu’à l’exercice ou à la défense de ses droits en justice. BidFinance est autorisée à conserver et à utiliser des données anonymisées relatives aux enchères réalisées sur la Plateforme.</w:t>
      </w:r>
    </w:p>
    <w:p w:rsidR="00000000" w:rsidDel="00000000" w:rsidP="00000000" w:rsidRDefault="00000000" w:rsidRPr="00000000" w14:paraId="0000004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6</w:t>
      </w:r>
    </w:p>
    <w:p w:rsidR="00000000" w:rsidDel="00000000" w:rsidP="00000000" w:rsidRDefault="00000000" w:rsidRPr="00000000" w14:paraId="00000048">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9">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Parties conviennent de déployer des efforts raisonnables afin de résoudre à l’amiable tout litige découlant du présent NDA. Tout litige qui ne pourrait être résolu à l’amiable sera soumis à la compétence exclusive du tribunal du ressort du siège social de BidFinance. </w:t>
      </w:r>
    </w:p>
    <w:p w:rsidR="00000000" w:rsidDel="00000000" w:rsidP="00000000" w:rsidRDefault="00000000" w:rsidRPr="00000000" w14:paraId="0000004A">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Toute modification ou tout avenant au présent NDA devra être établi par écrit, à peine de nullité. </w:t>
      </w:r>
    </w:p>
    <w:p w:rsidR="00000000" w:rsidDel="00000000" w:rsidP="00000000" w:rsidRDefault="00000000" w:rsidRPr="00000000" w14:paraId="0000004B">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présent NDA a été établi en deux exemplaires originaux, un pour chaque Partie.</w:t>
      </w:r>
    </w:p>
    <w:p w:rsidR="00000000" w:rsidDel="00000000" w:rsidP="00000000" w:rsidRDefault="00000000" w:rsidRPr="00000000" w14:paraId="0000004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bl>
      <w:tblPr>
        <w:tblStyle w:val="Table1"/>
        <w:tblW w:w="8160.0" w:type="dxa"/>
        <w:jc w:val="left"/>
        <w:tblInd w:w="4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3120"/>
        <w:tblGridChange w:id="0">
          <w:tblGrid>
            <w:gridCol w:w="504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BidFinance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Partenaire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w:t>
            </w:r>
          </w:p>
        </w:tc>
      </w:tr>
    </w:tbl>
    <w:p w:rsidR="00000000" w:rsidDel="00000000" w:rsidP="00000000" w:rsidRDefault="00000000" w:rsidRPr="00000000" w14:paraId="00000055">
      <w:pPr>
        <w:spacing w:line="240" w:lineRule="auto"/>
        <w:rPr>
          <w:rFonts w:ascii="Times New Roman" w:cs="Times New Roman" w:eastAsia="Times New Roman" w:hAnsi="Times New Roman"/>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394" w:top="2267" w:left="1133" w:right="127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center"/>
      <w:rPr>
        <w:rFonts w:ascii="Times New Roman" w:cs="Times New Roman" w:eastAsia="Times New Roman" w:hAnsi="Times New Roman"/>
        <w:color w:val="b7b7b7"/>
        <w:sz w:val="16"/>
        <w:szCs w:val="16"/>
      </w:rPr>
    </w:pPr>
    <w:r w:rsidDel="00000000" w:rsidR="00000000" w:rsidRPr="00000000">
      <w:rPr/>
      <mc:AlternateContent>
        <mc:Choice Requires="wpg">
          <w:drawing>
            <wp:inline distB="0" distT="0" distL="114300" distR="114300">
              <wp:extent cx="2073275" cy="44450"/>
              <wp:effectExtent b="0" l="0" r="0" t="0"/>
              <wp:docPr id="1" name=""/>
              <a:graphic>
                <a:graphicData uri="http://schemas.microsoft.com/office/word/2010/wordprocessingShape">
                  <wps:wsp>
                    <wps:cNvSpPr/>
                    <wps:cNvPr id="2" name="Shape 2"/>
                    <wps:spPr>
                      <a:xfrm>
                        <a:off x="4322063" y="3770475"/>
                        <a:ext cx="2047875" cy="19050"/>
                      </a:xfrm>
                      <a:custGeom>
                        <a:rect b="b" l="l" r="r" t="t"/>
                        <a:pathLst>
                          <a:path extrusionOk="0" h="19050" w="2047875">
                            <a:moveTo>
                              <a:pt x="0" y="0"/>
                            </a:moveTo>
                            <a:lnTo>
                              <a:pt x="2047875" y="19050"/>
                            </a:lnTo>
                          </a:path>
                        </a:pathLst>
                      </a:custGeom>
                      <a:solidFill>
                        <a:srgbClr val="FFFFFF"/>
                      </a:solidFill>
                      <a:ln cap="flat" cmpd="sng" w="12700">
                        <a:solidFill>
                          <a:srgbClr val="EFEFEF"/>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2073275" cy="44450"/>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73275" cy="444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ind w:left="708" w:firstLine="0"/>
      <w:rPr>
        <w:rFonts w:ascii="Times New Roman" w:cs="Times New Roman" w:eastAsia="Times New Roman" w:hAnsi="Times New Roman"/>
        <w:color w:val="b7b7b7"/>
        <w:sz w:val="16"/>
        <w:szCs w:val="16"/>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BidFinance LLC</w:t>
    </w:r>
  </w:p>
  <w:p w:rsidR="00000000" w:rsidDel="00000000" w:rsidP="00000000" w:rsidRDefault="00000000" w:rsidRPr="00000000" w14:paraId="00000060">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Kącik 4 Street, 30-549 Kraków</w:t>
    </w:r>
  </w:p>
  <w:p w:rsidR="00000000" w:rsidDel="00000000" w:rsidP="00000000" w:rsidRDefault="00000000" w:rsidRPr="00000000" w14:paraId="00000061">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KRS: 0000975000</w:t>
    </w:r>
  </w:p>
  <w:p w:rsidR="00000000" w:rsidDel="00000000" w:rsidP="00000000" w:rsidRDefault="00000000" w:rsidRPr="00000000" w14:paraId="00000062">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NIP: 6793240675</w:t>
    </w:r>
  </w:p>
  <w:p w:rsidR="00000000" w:rsidDel="00000000" w:rsidP="00000000" w:rsidRDefault="00000000" w:rsidRPr="00000000" w14:paraId="00000063">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REGON: 522206447</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180975</wp:posOffset>
          </wp:positionV>
          <wp:extent cx="1447120" cy="3000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7120" cy="300038"/>
                  </a:xfrm>
                  <a:prstGeom prst="rect"/>
                  <a:ln/>
                </pic:spPr>
              </pic:pic>
            </a:graphicData>
          </a:graphic>
        </wp:anchor>
      </w:drawing>
    </w:r>
  </w:p>
  <w:p w:rsidR="00000000" w:rsidDel="00000000" w:rsidP="00000000" w:rsidRDefault="00000000" w:rsidRPr="00000000" w14:paraId="00000058">
    <w:pPr>
      <w:jc w:val="cente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bidfinance.eu" TargetMode="Externa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