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Til:</w:t>
      </w:r>
    </w:p>
    <w:p w14:paraId="1A4D7FC8" w14:textId="664365C8" w:rsidR="00C161A9" w:rsidRDefault="007A7D55" w:rsidP="00CF7BA8">
      <w:pPr>
        <w:jc w:val="right"/>
        <w:rPr>
          <w:rFonts w:ascii="Calibri" w:hAnsi="Calibri" w:cs="Calibri"/>
          <w:sz w:val="20"/>
          <w:szCs w:val="20"/>
        </w:rPr>
      </w:pPr>
      <w:r>
        <w:rPr>
          <w:rFonts w:ascii="Calibri" w:hAnsi="Calibri"/>
          <w:sz w:val="20"/>
        </w:rPr>
        <w:t>Navn borgmester</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E-mail</w:t>
      </w:r>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Kære XX (navn borgmester)</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Byer blomstrer op, når de udformes for alle, og når gader, parker og offentlige områder rummer alle indbyggernes forskellige behov. Jeg skriver derfor for at opfordre dig til at arbejde for en mere inklusiv, retfærdig og bæredygtig byudvikling, der reelt kan rumme alle køns behov, især når det gælder kvinder og piger, som der tidligere ikke er blevet taget højde for i byplanlægningen.</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 xml:space="preserve">Byer er ikke neutrale rum. Udformningen og planlægningen påvirker mennesker forskelligt afhængigt af deres køn, alder, fysiske form, omsorgsforpligtelser og økonomiske status. Desværre tages der ofte ikke tilstrækkeligt højde for mere end halvdelen af befolkningens behov, når </w:t>
      </w:r>
      <w:proofErr w:type="spellStart"/>
      <w:r>
        <w:rPr>
          <w:rFonts w:ascii="Calibri" w:hAnsi="Calibri"/>
          <w:sz w:val="20"/>
        </w:rPr>
        <w:t>byinfrastrukturen</w:t>
      </w:r>
      <w:proofErr w:type="spellEnd"/>
      <w:r>
        <w:rPr>
          <w:rFonts w:ascii="Calibri" w:hAnsi="Calibri"/>
          <w:sz w:val="20"/>
        </w:rPr>
        <w:t xml:space="preserve"> planlægges – hverken når det gælder offentlig transport, boliger, gadebelysning, anlæg af parker eller adgang til tjenesteydelser. Byområder bør fungere for alle. Feministiske byer er progressive byer.</w:t>
      </w:r>
    </w:p>
    <w:p w14:paraId="1EF5824F" w14:textId="77777777" w:rsidR="000F5DB2" w:rsidRPr="000F5DB2" w:rsidRDefault="000F5DB2" w:rsidP="000F5DB2">
      <w:pPr>
        <w:rPr>
          <w:rFonts w:ascii="Calibri" w:hAnsi="Calibri" w:cs="Calibri"/>
          <w:sz w:val="20"/>
          <w:szCs w:val="20"/>
          <w:lang w:val="en-GB"/>
        </w:rPr>
      </w:pPr>
    </w:p>
    <w:p w14:paraId="4B94C61F" w14:textId="3DB819A2" w:rsidR="000F5DB2" w:rsidRPr="000F5DB2" w:rsidRDefault="000F5DB2" w:rsidP="000F5DB2">
      <w:pPr>
        <w:rPr>
          <w:rFonts w:ascii="Calibri" w:hAnsi="Calibri" w:cs="Calibri"/>
          <w:sz w:val="20"/>
          <w:szCs w:val="20"/>
        </w:rPr>
      </w:pPr>
      <w:r>
        <w:rPr>
          <w:rFonts w:ascii="Calibri" w:hAnsi="Calibri"/>
          <w:sz w:val="20"/>
        </w:rPr>
        <w:t xml:space="preserve">På workshoppen om kønsorienteret byplanlægning, som blev afholdt af De Europæiske Socialdemokraters Gruppe (PES) i Det Europæiske Regionsudvalg den 14. oktober 2025 sideløbende med den europæiske uge for regioner og byer, blev det mere end nogensinde før klart, at der er akut behov for at inddrage kønsperspektiver og kønsbudgettering i alle aspekter af den lokale og regionale politikudformning, også i byplanlægningen og </w:t>
      </w:r>
      <w:r w:rsidR="008C5F4B">
        <w:rPr>
          <w:rFonts w:ascii="Calibri" w:hAnsi="Calibri"/>
          <w:sz w:val="20"/>
        </w:rPr>
        <w:noBreakHyphen/>
      </w:r>
      <w:r>
        <w:rPr>
          <w:rFonts w:ascii="Calibri" w:hAnsi="Calibri"/>
          <w:sz w:val="20"/>
        </w:rPr>
        <w:t>designet.</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Kønsbudgettering er ikke kun et finansieringsgreb, men afspejler også et politisk engagement i retfærdighed og lighed. På den måde sikrer man, at de offentlige midler bruges aktivt til at mindske uligheder, og at ingen lades i stikken. Ved at indføre kønsbudgetteringspraksis – fra planlægnings- til gennemførelsesfasen af projekter – kan man bedre skabe rum, der fungerer for alle. Økonomisk overkommelige boliger, sikre gader, tilgængelig mobilitet og inklusive offentlige tjenester er afgørende for, at indbyggerne accepterer de politiske beslutninger.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Dette er en enestående mulighed for at sætte et progressivt eksempel og gå forrest i udformningen af en fremtid, hvor vores byer virkelig er for alle. Jeg opfordrer dig til at føre en kønsorienteret byplanlægningspolitik, der imødekommer alle indbyggernes forskellige behov, anvende kønsbudgettering på kommunalt plan for at sikre en retfærdig fordeling af offentlige midler og fremme deltagelsesbaserede planlægningsprocesser for at sikre en bredere inddragelse i projektforberedelsen. </w:t>
      </w:r>
      <w:r w:rsidRPr="008C5F4B">
        <w:rPr>
          <w:rFonts w:ascii="Calibri" w:hAnsi="Calibri"/>
          <w:sz w:val="20"/>
          <w:szCs w:val="20"/>
        </w:rPr>
        <w:t>Afslutningsvis opfordrer jeg dig til offentligt at bakke op om byplanlægning som et redskab til social retfærdighed og inklusion ved at bruge hashtagget #FeministCitiesAreProgressiveCities og tagge</w:t>
      </w:r>
      <w:r>
        <w:rPr>
          <w:rFonts w:ascii="Calibri" w:hAnsi="Calibri"/>
        </w:rPr>
        <w:t xml:space="preserve"> </w:t>
      </w:r>
      <w:hyperlink r:id="rId10">
        <w:r>
          <w:rPr>
            <w:rStyle w:val="Hyperlink"/>
            <w:rFonts w:asciiTheme="minorHAnsi" w:hAnsiTheme="minorHAnsi"/>
            <w:sz w:val="20"/>
          </w:rPr>
          <w:t>PES-gruppen i RU</w:t>
        </w:r>
      </w:hyperlink>
      <w:r>
        <w:t>.</w:t>
      </w:r>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Tak for at gå foran med et godt eksempel og engagere dig i udformningen af feministiske byer og en bedre fremtid for alle borgere.</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Med venlig hilsen</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PES-gruppen i Det Europæiske Regionsudvalg</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r>
            <w:rPr>
              <w:rFonts w:ascii="Arial" w:hAnsi="Arial"/>
              <w:color w:val="0D0D0D"/>
              <w:sz w:val="14"/>
            </w:rPr>
            <w:t>Rue Belliard 101, 1040 Bruxelles</w:t>
          </w:r>
        </w:p>
      </w:tc>
      <w:tc>
        <w:tcPr>
          <w:tcW w:w="2208" w:type="dxa"/>
          <w:tcBorders>
            <w:left w:val="single" w:sz="8" w:space="0" w:color="DD0000"/>
          </w:tcBorders>
          <w:shd w:val="clear" w:color="auto" w:fill="auto"/>
        </w:tcPr>
        <w:p w14:paraId="74AE392F" w14:textId="77777777" w:rsidR="00CE0BB2" w:rsidRPr="004C2966" w:rsidRDefault="00AD3184"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336495">
              <w:rPr>
                <w:rFonts w:ascii="Arial" w:hAnsi="Arial"/>
                <w:sz w:val="15"/>
              </w:rPr>
              <w:t>pes-group@cor.europa.eu</w:t>
            </w:r>
          </w:hyperlink>
          <w:r w:rsidR="00336495">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8A7621" w:rsidRDefault="008419C6" w:rsidP="00A513A3">
    <w:pPr>
      <w:pStyle w:val="Footer"/>
      <w:rPr>
        <w:rFonts w:asciiTheme="minorHAnsi" w:hAnsiTheme="minorHAnsi" w:cstheme="minorHAnsi"/>
        <w:sz w:val="20"/>
        <w:szCs w:val="20"/>
      </w:rPr>
    </w:pPr>
    <w:r w:rsidRPr="008A7621">
      <w:rPr>
        <w:rFonts w:asciiTheme="minorHAnsi" w:hAnsiTheme="minorHAnsi" w:cstheme="minorHAnsi"/>
        <w:sz w:val="20"/>
        <w:szCs w:val="20"/>
      </w:rPr>
      <w:t xml:space="preserve">COR-2025-03101-00-00-LET-TRA (EN) </w:t>
    </w:r>
    <w:r w:rsidRPr="008A7621">
      <w:rPr>
        <w:rFonts w:asciiTheme="minorHAnsi" w:hAnsiTheme="minorHAnsi" w:cstheme="minorHAnsi"/>
        <w:sz w:val="20"/>
        <w:szCs w:val="20"/>
      </w:rPr>
      <w:fldChar w:fldCharType="begin"/>
    </w:r>
    <w:r w:rsidRPr="008A7621">
      <w:rPr>
        <w:rFonts w:asciiTheme="minorHAnsi" w:hAnsiTheme="minorHAnsi" w:cstheme="minorHAnsi"/>
        <w:sz w:val="20"/>
        <w:szCs w:val="20"/>
      </w:rPr>
      <w:instrText xml:space="preserve"> PAGE  \* Arabic  \* MERGEFORMAT </w:instrText>
    </w:r>
    <w:r w:rsidRPr="008A7621">
      <w:rPr>
        <w:rFonts w:asciiTheme="minorHAnsi" w:hAnsiTheme="minorHAnsi" w:cstheme="minorHAnsi"/>
        <w:sz w:val="20"/>
        <w:szCs w:val="20"/>
      </w:rPr>
      <w:fldChar w:fldCharType="separate"/>
    </w:r>
    <w:r w:rsidR="00367AE6" w:rsidRPr="008A7621">
      <w:rPr>
        <w:rFonts w:asciiTheme="minorHAnsi" w:hAnsiTheme="minorHAnsi" w:cstheme="minorHAnsi"/>
        <w:sz w:val="20"/>
        <w:szCs w:val="20"/>
      </w:rPr>
      <w:t>1</w:t>
    </w:r>
    <w:r w:rsidRPr="008A7621">
      <w:rPr>
        <w:rFonts w:asciiTheme="minorHAnsi" w:hAnsiTheme="minorHAnsi" w:cstheme="minorHAnsi"/>
        <w:sz w:val="20"/>
        <w:szCs w:val="20"/>
      </w:rPr>
      <w:fldChar w:fldCharType="end"/>
    </w:r>
    <w:r w:rsidRPr="008A7621">
      <w:rPr>
        <w:rFonts w:asciiTheme="minorHAnsi" w:hAnsiTheme="minorHAnsi" w:cstheme="minorHAnsi"/>
        <w:sz w:val="20"/>
        <w:szCs w:val="20"/>
      </w:rPr>
      <w:t>/</w:t>
    </w:r>
    <w:r w:rsidR="00E0091F" w:rsidRPr="008A7621">
      <w:rPr>
        <w:rFonts w:asciiTheme="minorHAnsi" w:hAnsiTheme="minorHAnsi" w:cstheme="minorHAnsi"/>
        <w:sz w:val="20"/>
        <w:szCs w:val="20"/>
      </w:rPr>
      <w:fldChar w:fldCharType="begin"/>
    </w:r>
    <w:r w:rsidR="00E0091F" w:rsidRPr="008A7621">
      <w:rPr>
        <w:rFonts w:asciiTheme="minorHAnsi" w:hAnsiTheme="minorHAnsi" w:cstheme="minorHAnsi"/>
        <w:sz w:val="20"/>
        <w:szCs w:val="20"/>
      </w:rPr>
      <w:instrText xml:space="preserve"> NUMPAGES </w:instrText>
    </w:r>
    <w:r w:rsidR="00E0091F" w:rsidRPr="008A7621">
      <w:rPr>
        <w:rFonts w:asciiTheme="minorHAnsi" w:hAnsiTheme="minorHAnsi" w:cstheme="minorHAnsi"/>
        <w:sz w:val="20"/>
        <w:szCs w:val="20"/>
      </w:rPr>
      <w:fldChar w:fldCharType="separate"/>
    </w:r>
    <w:r w:rsidR="00367AE6" w:rsidRPr="008A7621">
      <w:rPr>
        <w:rFonts w:asciiTheme="minorHAnsi" w:hAnsiTheme="minorHAnsi" w:cstheme="minorHAnsi"/>
        <w:sz w:val="20"/>
        <w:szCs w:val="20"/>
      </w:rPr>
      <w:t>1</w:t>
    </w:r>
    <w:r w:rsidR="00E0091F" w:rsidRPr="008A7621">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7EB9050A">
                <wp:extent cx="1012190" cy="877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16661" cy="881798"/>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36495"/>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A7621"/>
    <w:rsid w:val="008B01D4"/>
    <w:rsid w:val="008B20B8"/>
    <w:rsid w:val="008B22A4"/>
    <w:rsid w:val="008B2775"/>
    <w:rsid w:val="008B6285"/>
    <w:rsid w:val="008B6E9F"/>
    <w:rsid w:val="008B74DA"/>
    <w:rsid w:val="008C11D9"/>
    <w:rsid w:val="008C18B0"/>
    <w:rsid w:val="008C3BCB"/>
    <w:rsid w:val="008C5F4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184"/>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91F"/>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da-DK"/>
    </w:rPr>
  </w:style>
  <w:style w:type="character" w:customStyle="1" w:styleId="Heading2Char">
    <w:name w:val="Heading 2 Char"/>
    <w:basedOn w:val="DefaultParagraphFont"/>
    <w:link w:val="Heading2"/>
    <w:rsid w:val="001F2F22"/>
    <w:rPr>
      <w:rFonts w:ascii="Times New Roman" w:eastAsia="Times New Roman" w:hAnsi="Times New Roman" w:cs="Times New Roman"/>
      <w:lang w:val="da-DK"/>
    </w:rPr>
  </w:style>
  <w:style w:type="character" w:customStyle="1" w:styleId="Heading3Char">
    <w:name w:val="Heading 3 Char"/>
    <w:basedOn w:val="DefaultParagraphFont"/>
    <w:link w:val="Heading3"/>
    <w:rsid w:val="001F2F22"/>
    <w:rPr>
      <w:rFonts w:ascii="Times New Roman" w:eastAsia="Times New Roman" w:hAnsi="Times New Roman" w:cs="Times New Roman"/>
      <w:lang w:val="da-DK"/>
    </w:rPr>
  </w:style>
  <w:style w:type="character" w:customStyle="1" w:styleId="Heading4Char">
    <w:name w:val="Heading 4 Char"/>
    <w:basedOn w:val="DefaultParagraphFont"/>
    <w:link w:val="Heading4"/>
    <w:rsid w:val="001F2F22"/>
    <w:rPr>
      <w:rFonts w:ascii="Times New Roman" w:eastAsia="Times New Roman" w:hAnsi="Times New Roman" w:cs="Times New Roman"/>
      <w:lang w:val="da-DK"/>
    </w:rPr>
  </w:style>
  <w:style w:type="character" w:customStyle="1" w:styleId="Heading5Char">
    <w:name w:val="Heading 5 Char"/>
    <w:basedOn w:val="DefaultParagraphFont"/>
    <w:link w:val="Heading5"/>
    <w:rsid w:val="001F2F22"/>
    <w:rPr>
      <w:rFonts w:ascii="Times New Roman" w:eastAsia="Times New Roman" w:hAnsi="Times New Roman" w:cs="Times New Roman"/>
      <w:lang w:val="da-DK"/>
    </w:rPr>
  </w:style>
  <w:style w:type="character" w:customStyle="1" w:styleId="Heading6Char">
    <w:name w:val="Heading 6 Char"/>
    <w:basedOn w:val="DefaultParagraphFont"/>
    <w:link w:val="Heading6"/>
    <w:rsid w:val="001F2F22"/>
    <w:rPr>
      <w:rFonts w:ascii="Times New Roman" w:eastAsia="Times New Roman" w:hAnsi="Times New Roman" w:cs="Times New Roman"/>
      <w:lang w:val="da-DK"/>
    </w:rPr>
  </w:style>
  <w:style w:type="character" w:customStyle="1" w:styleId="Heading7Char">
    <w:name w:val="Heading 7 Char"/>
    <w:basedOn w:val="DefaultParagraphFont"/>
    <w:link w:val="Heading7"/>
    <w:rsid w:val="001F2F22"/>
    <w:rPr>
      <w:rFonts w:ascii="Times New Roman" w:eastAsia="Times New Roman" w:hAnsi="Times New Roman" w:cs="Times New Roman"/>
      <w:lang w:val="da-DK"/>
    </w:rPr>
  </w:style>
  <w:style w:type="character" w:customStyle="1" w:styleId="Heading8Char">
    <w:name w:val="Heading 8 Char"/>
    <w:basedOn w:val="DefaultParagraphFont"/>
    <w:link w:val="Heading8"/>
    <w:rsid w:val="001F2F22"/>
    <w:rPr>
      <w:rFonts w:ascii="Times New Roman" w:eastAsia="Times New Roman" w:hAnsi="Times New Roman" w:cs="Times New Roman"/>
      <w:lang w:val="da-DK"/>
    </w:rPr>
  </w:style>
  <w:style w:type="character" w:customStyle="1" w:styleId="Heading9Char">
    <w:name w:val="Heading 9 Char"/>
    <w:basedOn w:val="DefaultParagraphFont"/>
    <w:link w:val="Heading9"/>
    <w:rsid w:val="001F2F22"/>
    <w:rPr>
      <w:rFonts w:ascii="Times New Roman" w:eastAsia="Times New Roman" w:hAnsi="Times New Roman" w:cs="Times New Roman"/>
      <w:lang w:val="da-DK"/>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da-DK"/>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da-DK"/>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da-DK"/>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da-DK"/>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da-DK"/>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da-DK"/>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da-DK"/>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da-DK"/>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da-DK"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da-DK"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da-DK"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da-DK"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da-DK"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Danish</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2.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3.xml><?xml version="1.0" encoding="utf-8"?>
<ds:datastoreItem xmlns:ds="http://schemas.openxmlformats.org/officeDocument/2006/customXml" ds:itemID="{9CA08504-6AF3-4A5E-83E1-DB3F8C196121}"/>
</file>

<file path=customXml/itemProps4.xml><?xml version="1.0" encoding="utf-8"?>
<ds:datastoreItem xmlns:ds="http://schemas.openxmlformats.org/officeDocument/2006/customXml" ds:itemID="{1A53D8D1-B2B2-4C6E-B1C8-82575BBB714D}"/>
</file>

<file path=docProps/app.xml><?xml version="1.0" encoding="utf-8"?>
<Properties xmlns="http://schemas.openxmlformats.org/officeDocument/2006/extended-properties" xmlns:vt="http://schemas.openxmlformats.org/officeDocument/2006/docPropsVTypes">
  <Template>Normal.dotm</Template>
  <TotalTime>18</TotalTime>
  <Pages>1</Pages>
  <Words>447</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europæiske uge for regioner og byer - Brev til borgmestre</dc:title>
  <dc:creator/>
  <cp:keywords>COR-2023-00422-00-00-WEB-TRA-EN</cp:keywords>
  <dc:description>Rapporteur: -  Original language: - EN Date of document: - 26/01/2023 Date of meeting: -  External documents: -  Administrator responsible: -  LETE Nicolas</dc:description>
  <cp:lastModifiedBy/>
  <cp:revision>9</cp:revision>
  <cp:lastPrinted>2025-05-08T12:45:00Z</cp:lastPrinted>
  <dcterms:created xsi:type="dcterms:W3CDTF">2025-09-24T13:59:00Z</dcterms:created>
  <dcterms:modified xsi:type="dcterms:W3CDTF">2025-09-29T15:13:00Z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55ee5635-04f8-4052-8a6c-f51ab8aa2410</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LV|46f7e311-5d9f-4663-b433-18aeccb7ace7;FR|d2afafd3-4c81-4f60-8f52-ee33f2f54ff3;DE|f6b31e5a-26fa-4935-b661-318e46daf27e;EN|f2175f21-25d7-44a3-96da-d6a61b075e1b;SV|c2ed69e7-a339-43d7-8f22-d93680a92aa0;HU|6b229040-c589-4408-b4c1-4285663d20a8;NL|55c6556c-b4f4-441d-9acf-c498d4f838bd;PL|1e03da61-4678-4e07-b136-b5024ca9197b;ES|e7a6b05b-ae16-40c8-add9-68b64b03aeba;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27;#LV|46f7e311-5d9f-4663-b433-18aeccb7ace7;#26;#HU|6b229040-c589-4408-b4c1-4285663d20a8;#8;#TRA|150d2a88-1431-44e6-a8ca-0bb753ab8672;#61;#PES|148bacd2-5291-42d3-91db-bd5de9b12ecb;#22;#IT|0774613c-01ed-4e5d-a25d-11d2388de825;#21;#SV|c2ed69e7-a339-43d7-8f22-d93680a92aa0;#20;#PL|1e03da61-4678-4e07-b136-b5024ca9197b;#19;#FR|d2afafd3-4c81-4f60-8f52-ee33f2f54ff3;#17;#LET|1efb3932-8add-41f7-8a52-34f688b497db;#16;#NL|55c6556c-b4f4-441d-9acf-c498d4f838bd;#15;#DE|f6b31e5a-26fa-4935-b661-318e46daf27e;#41;#Protected|57ddab83-4635-4615-a38a-314020a42ea1;#6;#Final|ea5e6674-7b27-4bac-b091-73adbb394efe;#4;#EN|f2175f21-25d7-44a3-96da-d6a61b075e1b;#1;#CoR|cb2d75ef-4a7d-4393-b797-49ed6298a5ea;#24;#ES|e7a6b05b-ae16-40c8-add9-68b64b03aeba</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25;#DA|5d49c027-8956-412b-aa16-e85a0f96ad0e</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