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44" w:before="0" w:lineRule="auto"/>
        <w:rPr/>
      </w:pPr>
      <w:r w:rsidDel="00000000" w:rsidR="00000000" w:rsidRPr="00000000">
        <w:rPr>
          <w:rFonts w:ascii="Montserrat Light" w:cs="Montserrat Light" w:eastAsia="Montserrat Light" w:hAnsi="Montserrat Light"/>
          <w:sz w:val="18"/>
          <w:szCs w:val="18"/>
        </w:rPr>
        <mc:AlternateContent>
          <mc:Choice Requires="wpg">
            <w:drawing>
              <wp:anchor allowOverlap="1" behindDoc="0" distB="114300" distT="114300" distL="114300" distR="114300" hidden="0" layoutInCell="1" locked="0" relativeHeight="0" simplePos="0">
                <wp:simplePos x="0" y="0"/>
                <wp:positionH relativeFrom="page">
                  <wp:posOffset>-19049</wp:posOffset>
                </wp:positionH>
                <wp:positionV relativeFrom="page">
                  <wp:posOffset>-11853</wp:posOffset>
                </wp:positionV>
                <wp:extent cx="7810500" cy="1866900"/>
                <wp:effectExtent b="0" l="0" r="0" t="0"/>
                <wp:wrapSquare wrapText="bothSides" distB="114300" distT="114300" distL="114300" distR="114300"/>
                <wp:docPr id="2" name=""/>
                <a:graphic>
                  <a:graphicData uri="http://schemas.microsoft.com/office/word/2010/wordprocessingGroup">
                    <wpg:wgp>
                      <wpg:cNvGrpSpPr/>
                      <wpg:grpSpPr>
                        <a:xfrm>
                          <a:off x="1380100" y="1118925"/>
                          <a:ext cx="7810500" cy="1866900"/>
                          <a:chOff x="1380100" y="1118925"/>
                          <a:chExt cx="7708450" cy="4469425"/>
                        </a:xfrm>
                      </wpg:grpSpPr>
                      <wps:wsp>
                        <wps:cNvSpPr/>
                        <wps:cNvPr id="2" name="Shape 2"/>
                        <wps:spPr>
                          <a:xfrm>
                            <a:off x="1383200" y="1124475"/>
                            <a:ext cx="7702200" cy="4458000"/>
                          </a:xfrm>
                          <a:prstGeom prst="rect">
                            <a:avLst/>
                          </a:prstGeom>
                          <a:solidFill>
                            <a:srgbClr val="EFEFEF"/>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CnPr/>
                        <wps:spPr>
                          <a:xfrm>
                            <a:off x="1383492" y="1124795"/>
                            <a:ext cx="7701600" cy="4457700"/>
                          </a:xfrm>
                          <a:prstGeom prst="straightConnector1">
                            <a:avLst/>
                          </a:prstGeom>
                          <a:noFill/>
                          <a:ln cap="flat" cmpd="sng" w="13475">
                            <a:solidFill>
                              <a:srgbClr val="999999"/>
                            </a:solidFill>
                            <a:prstDash val="solid"/>
                            <a:round/>
                            <a:headEnd len="med" w="med" type="none"/>
                            <a:tailEnd len="med" w="med" type="none"/>
                          </a:ln>
                        </wps:spPr>
                        <wps:bodyPr anchorCtr="0" anchor="ctr" bIns="129275" lIns="129275" spcFirstLastPara="1" rIns="129275" wrap="square" tIns="129275">
                          <a:noAutofit/>
                        </wps:bodyPr>
                      </wps:wsp>
                      <wps:wsp>
                        <wps:cNvCnPr/>
                        <wps:spPr>
                          <a:xfrm flipH="1" rot="10800000">
                            <a:off x="1383563" y="1124762"/>
                            <a:ext cx="7701600" cy="4457700"/>
                          </a:xfrm>
                          <a:prstGeom prst="straightConnector1">
                            <a:avLst/>
                          </a:prstGeom>
                          <a:noFill/>
                          <a:ln cap="flat" cmpd="sng" w="13475">
                            <a:solidFill>
                              <a:srgbClr val="999999"/>
                            </a:solidFill>
                            <a:prstDash val="solid"/>
                            <a:round/>
                            <a:headEnd len="med" w="med" type="none"/>
                            <a:tailEnd len="med" w="med" type="none"/>
                          </a:ln>
                        </wps:spPr>
                        <wps:bodyPr anchorCtr="0" anchor="ctr" bIns="129275" lIns="129275" spcFirstLastPara="1" rIns="129275" wrap="square" tIns="12927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page">
                  <wp:posOffset>-19049</wp:posOffset>
                </wp:positionH>
                <wp:positionV relativeFrom="page">
                  <wp:posOffset>-11853</wp:posOffset>
                </wp:positionV>
                <wp:extent cx="7810500" cy="1866900"/>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7810500" cy="1866900"/>
                        </a:xfrm>
                        <a:prstGeom prst="rect"/>
                        <a:ln/>
                      </pic:spPr>
                    </pic:pic>
                  </a:graphicData>
                </a:graphic>
              </wp:anchor>
            </w:drawing>
          </mc:Fallback>
        </mc:AlternateContent>
      </w:r>
      <w:r w:rsidDel="00000000" w:rsidR="00000000" w:rsidRPr="00000000">
        <w:rPr>
          <w:rFonts w:ascii="Montserrat Light" w:cs="Montserrat Light" w:eastAsia="Montserrat Light" w:hAnsi="Montserrat Light"/>
          <w:sz w:val="18"/>
          <w:szCs w:val="18"/>
          <w:rtl w:val="0"/>
        </w:rPr>
        <w:t xml:space="preserve">Image Caption</w:t>
      </w:r>
      <w:r w:rsidDel="00000000" w:rsidR="00000000" w:rsidRPr="00000000">
        <w:rPr>
          <w:rtl w:val="0"/>
        </w:rPr>
      </w:r>
    </w:p>
    <w:p w:rsidR="00000000" w:rsidDel="00000000" w:rsidP="00000000" w:rsidRDefault="00000000" w:rsidRPr="00000000" w14:paraId="00000002">
      <w:pPr>
        <w:pStyle w:val="Heading1"/>
        <w:spacing w:before="1000" w:lineRule="auto"/>
        <w:rPr/>
      </w:pPr>
      <w:bookmarkStart w:colFirst="0" w:colLast="0" w:name="_811kr7gm7lf7" w:id="0"/>
      <w:bookmarkEnd w:id="0"/>
      <w:r w:rsidDel="00000000" w:rsidR="00000000" w:rsidRPr="00000000">
        <w:rPr>
          <w:rtl w:val="0"/>
        </w:rPr>
        <w:t xml:space="preserve">Heading</w:t>
      </w:r>
    </w:p>
    <w:p w:rsidR="00000000" w:rsidDel="00000000" w:rsidP="00000000" w:rsidRDefault="00000000" w:rsidRPr="00000000" w14:paraId="00000003">
      <w:pPr>
        <w:spacing w:after="200" w:lineRule="auto"/>
        <w:rPr>
          <w:color w:val="666666"/>
          <w:sz w:val="30"/>
          <w:szCs w:val="30"/>
        </w:rPr>
      </w:pPr>
      <w:r w:rsidDel="00000000" w:rsidR="00000000" w:rsidRPr="00000000">
        <w:rPr>
          <w:color w:val="666666"/>
          <w:sz w:val="30"/>
          <w:szCs w:val="30"/>
          <w:rtl w:val="0"/>
        </w:rPr>
        <w:t xml:space="preserve">Subtitle</w:t>
      </w:r>
    </w:p>
    <w:p w:rsidR="00000000" w:rsidDel="00000000" w:rsidP="00000000" w:rsidRDefault="00000000" w:rsidRPr="00000000" w14:paraId="00000004">
      <w:pPr>
        <w:pStyle w:val="Subtitle"/>
        <w:rPr>
          <w:color w:val="666666"/>
          <w:sz w:val="24"/>
          <w:szCs w:val="24"/>
        </w:rPr>
      </w:pPr>
      <w:bookmarkStart w:colFirst="0" w:colLast="0" w:name="_8nbkq4bxkn4" w:id="1"/>
      <w:bookmarkEnd w:id="1"/>
      <w:r w:rsidDel="00000000" w:rsidR="00000000" w:rsidRPr="00000000">
        <w:rPr>
          <w:color w:val="666666"/>
          <w:sz w:val="24"/>
          <w:szCs w:val="24"/>
          <w:rtl w:val="0"/>
        </w:rPr>
        <w:t xml:space="preserve">By Author Name</w:t>
      </w:r>
      <w:r w:rsidDel="00000000" w:rsidR="00000000" w:rsidRPr="00000000">
        <w:rPr>
          <w:color w:val="666666"/>
          <w:sz w:val="24"/>
          <w:szCs w:val="24"/>
          <w:rtl w:val="0"/>
        </w:rPr>
        <w:t xml:space="preserve">, </w:t>
      </w:r>
      <w:r w:rsidDel="00000000" w:rsidR="00000000" w:rsidRPr="00000000">
        <w:rPr>
          <w:color w:val="666666"/>
          <w:sz w:val="24"/>
          <w:szCs w:val="24"/>
          <w:rtl w:val="0"/>
        </w:rPr>
        <w:t xml:space="preserve">Institution</w:t>
      </w:r>
    </w:p>
    <w:p w:rsidR="00000000" w:rsidDel="00000000" w:rsidP="00000000" w:rsidRDefault="00000000" w:rsidRPr="00000000" w14:paraId="00000005">
      <w:pPr>
        <w:pStyle w:val="Heading2"/>
        <w:spacing w:before="0" w:lineRule="auto"/>
        <w:rPr/>
      </w:pPr>
      <w:bookmarkStart w:colFirst="0" w:colLast="0" w:name="_ph7xbgruxlt4" w:id="2"/>
      <w:bookmarkEnd w:id="2"/>
      <w:r w:rsidDel="00000000" w:rsidR="00000000" w:rsidRPr="00000000">
        <w:rPr>
          <w:rtl w:val="0"/>
        </w:rPr>
        <w:t xml:space="preserve">Abstract</w:t>
      </w:r>
      <w:r w:rsidDel="00000000" w:rsidR="00000000" w:rsidRPr="00000000">
        <w:rPr>
          <w:rtl w:val="0"/>
        </w:rPr>
      </w:r>
    </w:p>
    <w:p w:rsidR="00000000" w:rsidDel="00000000" w:rsidP="00000000" w:rsidRDefault="00000000" w:rsidRPr="00000000" w14:paraId="00000006">
      <w:pPr>
        <w:spacing w:after="200" w:line="276" w:lineRule="auto"/>
        <w:ind w:left="0" w:firstLine="0"/>
        <w:rPr/>
      </w:pPr>
      <w:r w:rsidDel="00000000" w:rsidR="00000000" w:rsidRPr="00000000">
        <w:rPr>
          <w:rtl w:val="0"/>
        </w:rPr>
        <w:t xml:space="preserve">Lorem ipsum dolor sit amet, consectetur adipiscing elit. In quam est, facilisis vel urna in, pretium efficitur nunc. Phasellus sit amet ex eget libero lacinia fringilla at ac urna. Aliquam euismod sem id tempus placerat. Quisque leo eros, tempor ut placerat vitae, suscipit non nunc. Duis tincidunt dapibus arcu, vel fermentum nunc tincidunt scelerisque. Nullam dapibus, erat quis semper imperdiet, nibh turpis facilisis arcu, et rutrum ligula elit id justo. Pellentesque non dui vel neque sagittis posuere ut sed felis.</w:t>
      </w:r>
    </w:p>
    <w:p w:rsidR="00000000" w:rsidDel="00000000" w:rsidP="00000000" w:rsidRDefault="00000000" w:rsidRPr="00000000" w14:paraId="00000007">
      <w:pPr>
        <w:spacing w:after="200" w:line="276" w:lineRule="auto"/>
        <w:ind w:left="0" w:firstLine="0"/>
        <w:rPr/>
      </w:pPr>
      <w:r w:rsidDel="00000000" w:rsidR="00000000" w:rsidRPr="00000000">
        <w:rPr>
          <w:rtl w:val="0"/>
        </w:rPr>
        <w:t xml:space="preserve">Praesent cursus elementum porta. Maecenas et mauris vel nulla tincidunt iaculis quis nec mauris. Morbi dapibus diam vel nibh luctus, ut volutpat sem sollicitudin. Cras a sapien efficitur, imperdiet dolor nec, ornare orci. Ut sollicitudin vel tortor eget bibendum. Aliquam purus mi, mollis quis purus nec, dapibus pulvinar neque. Nullam quis diam iaculis, pulvinar est sed, dictum elit. Vestibulum ante ipsum primis in faucibus orci luctus et ultrices posuere cubilia curae; Suspendisse quis imperdiet risus. Mauris vulputate lectus ut risus bibendum, vel eleifend orci volutpat. Sed lacinia vitae massa nec tincidunt. Aenean tellus tortor, sagittis sit amet elit ac, tempus volutpat quam. Nunc consectetur justo quis risus sodales euismod in ac libero. Pellentesque molestie aliquam purus, et congue elit elementum id. Etiam iaculis auctor semper. Donec et porttitor mi.</w:t>
      </w:r>
      <w:r w:rsidDel="00000000" w:rsidR="00000000" w:rsidRPr="00000000">
        <w:br w:type="page"/>
      </w:r>
      <w:r w:rsidDel="00000000" w:rsidR="00000000" w:rsidRPr="00000000">
        <w:rPr>
          <w:rtl w:val="0"/>
        </w:rPr>
      </w:r>
    </w:p>
    <w:p w:rsidR="00000000" w:rsidDel="00000000" w:rsidP="00000000" w:rsidRDefault="00000000" w:rsidRPr="00000000" w14:paraId="00000008">
      <w:pPr>
        <w:pStyle w:val="Heading2"/>
        <w:rPr/>
      </w:pPr>
      <w:bookmarkStart w:colFirst="0" w:colLast="0" w:name="_ue3lfadivyq0" w:id="3"/>
      <w:bookmarkEnd w:id="3"/>
      <w:r w:rsidDel="00000000" w:rsidR="00000000" w:rsidRPr="00000000">
        <w:rPr>
          <w:rtl w:val="0"/>
        </w:rPr>
        <w:t xml:space="preserve">Heading 2</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Nam sagittis vehicula nibh, dapibus porta purus vulputate in. Suspendisse pretium molestie nisl nec sodales. Nullam non malesuada nulla. Morbi eget aliquet elit. Proin bibendum sem id augue viverra, sit amet ullamcorper nisl consequat. Quisque commodo lectus vel mi tristique, ut vestibulum quam faucibus. Nulla facilisi.</w:t>
      </w:r>
      <w:r w:rsidDel="00000000" w:rsidR="00000000" w:rsidRPr="00000000">
        <w:rPr>
          <w:rtl w:val="0"/>
        </w:rPr>
      </w:r>
    </w:p>
    <w:p w:rsidR="00000000" w:rsidDel="00000000" w:rsidP="00000000" w:rsidRDefault="00000000" w:rsidRPr="00000000" w14:paraId="0000000A">
      <w:pPr>
        <w:spacing w:after="144" w:line="276" w:lineRule="auto"/>
        <w:rPr>
          <w:rFonts w:ascii="Montserrat Light" w:cs="Montserrat Light" w:eastAsia="Montserrat Light" w:hAnsi="Montserrat Light"/>
          <w:sz w:val="18"/>
          <w:szCs w:val="18"/>
        </w:rPr>
      </w:pPr>
      <w:r w:rsidDel="00000000" w:rsidR="00000000" w:rsidRPr="00000000">
        <w:rPr>
          <w:rFonts w:ascii="Montserrat Light" w:cs="Montserrat Light" w:eastAsia="Montserrat Light" w:hAnsi="Montserrat Light"/>
          <w:sz w:val="18"/>
          <w:szCs w:val="18"/>
        </w:rPr>
        <mc:AlternateContent>
          <mc:Choice Requires="wpg">
            <w:drawing>
              <wp:inline distB="114300" distT="114300" distL="114300" distR="114300">
                <wp:extent cx="5943600" cy="3581400"/>
                <wp:effectExtent b="0" l="0" r="0" t="0"/>
                <wp:docPr id="1" name=""/>
                <a:graphic>
                  <a:graphicData uri="http://schemas.microsoft.com/office/word/2010/wordprocessingGroup">
                    <wpg:wgp>
                      <wpg:cNvGrpSpPr/>
                      <wpg:grpSpPr>
                        <a:xfrm>
                          <a:off x="1380100" y="1118925"/>
                          <a:ext cx="5943600" cy="3581400"/>
                          <a:chOff x="1380100" y="1118925"/>
                          <a:chExt cx="7708450" cy="4469425"/>
                        </a:xfrm>
                      </wpg:grpSpPr>
                      <wps:wsp>
                        <wps:cNvSpPr/>
                        <wps:cNvPr id="2" name="Shape 2"/>
                        <wps:spPr>
                          <a:xfrm>
                            <a:off x="1383200" y="1124475"/>
                            <a:ext cx="7702200" cy="4458000"/>
                          </a:xfrm>
                          <a:prstGeom prst="rect">
                            <a:avLst/>
                          </a:prstGeom>
                          <a:solidFill>
                            <a:srgbClr val="EFEFEF"/>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CnPr/>
                        <wps:spPr>
                          <a:xfrm>
                            <a:off x="1383492" y="1124795"/>
                            <a:ext cx="7701600" cy="4457700"/>
                          </a:xfrm>
                          <a:prstGeom prst="straightConnector1">
                            <a:avLst/>
                          </a:prstGeom>
                          <a:noFill/>
                          <a:ln cap="flat" cmpd="sng" w="13475">
                            <a:solidFill>
                              <a:srgbClr val="999999"/>
                            </a:solidFill>
                            <a:prstDash val="solid"/>
                            <a:round/>
                            <a:headEnd len="med" w="med" type="none"/>
                            <a:tailEnd len="med" w="med" type="none"/>
                          </a:ln>
                        </wps:spPr>
                        <wps:bodyPr anchorCtr="0" anchor="ctr" bIns="129275" lIns="129275" spcFirstLastPara="1" rIns="129275" wrap="square" tIns="129275">
                          <a:noAutofit/>
                        </wps:bodyPr>
                      </wps:wsp>
                      <wps:wsp>
                        <wps:cNvCnPr/>
                        <wps:spPr>
                          <a:xfrm flipH="1" rot="10800000">
                            <a:off x="1383563" y="1124762"/>
                            <a:ext cx="7701600" cy="4457700"/>
                          </a:xfrm>
                          <a:prstGeom prst="straightConnector1">
                            <a:avLst/>
                          </a:prstGeom>
                          <a:noFill/>
                          <a:ln cap="flat" cmpd="sng" w="13475">
                            <a:solidFill>
                              <a:srgbClr val="999999"/>
                            </a:solidFill>
                            <a:prstDash val="solid"/>
                            <a:round/>
                            <a:headEnd len="med" w="med" type="none"/>
                            <a:tailEnd len="med" w="med" type="none"/>
                          </a:ln>
                        </wps:spPr>
                        <wps:bodyPr anchorCtr="0" anchor="ctr" bIns="129275" lIns="129275" spcFirstLastPara="1" rIns="129275" wrap="square" tIns="129275">
                          <a:noAutofit/>
                        </wps:bodyPr>
                      </wps:wsp>
                    </wpg:wgp>
                  </a:graphicData>
                </a:graphic>
              </wp:inline>
            </w:drawing>
          </mc:Choice>
          <mc:Fallback>
            <w:drawing>
              <wp:inline distB="114300" distT="114300" distL="114300" distR="114300">
                <wp:extent cx="5943600" cy="3581400"/>
                <wp:effectExtent b="0" l="0" r="0" t="0"/>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5943600" cy="3581400"/>
                        </a:xfrm>
                        <a:prstGeom prst="rect"/>
                        <a:ln/>
                      </pic:spPr>
                    </pic:pic>
                  </a:graphicData>
                </a:graphic>
              </wp:inline>
            </w:drawing>
          </mc:Fallback>
        </mc:AlternateContent>
      </w:r>
      <w:r w:rsidDel="00000000" w:rsidR="00000000" w:rsidRPr="00000000">
        <w:rPr>
          <w:rFonts w:ascii="Montserrat Light" w:cs="Montserrat Light" w:eastAsia="Montserrat Light" w:hAnsi="Montserrat Light"/>
          <w:sz w:val="18"/>
          <w:szCs w:val="18"/>
          <w:rtl w:val="0"/>
        </w:rPr>
        <w:t xml:space="preserve">Image Caption</w:t>
      </w:r>
    </w:p>
    <w:p w:rsidR="00000000" w:rsidDel="00000000" w:rsidP="00000000" w:rsidRDefault="00000000" w:rsidRPr="00000000" w14:paraId="0000000B">
      <w:pPr>
        <w:rPr/>
      </w:pPr>
      <w:r w:rsidDel="00000000" w:rsidR="00000000" w:rsidRPr="00000000">
        <w:rPr>
          <w:rtl w:val="0"/>
        </w:rPr>
        <w:t xml:space="preserve">Lorem ipsum dolor sit amet, consectetur adipiscing elit. In quam est, facilisis vel urna in, pretium efficitur nunc. Phasellus sit amet ex eget libero lacinia fringilla at ac urna. Aliquam euismod sem id tempus placerat. Quisque leo eros, tempor ut placerat vitae, suscipit non nunc. Duis tincidunt dapibus arcu, vel fermentum nunc tincidunt scelerisque. Nullam dapibus, erat quis semper imperdiet, nibh turpis facilisis arcu, et rutrum ligula elit id justo. Pellentesque non dui vel neque sagittis posuere ut sed felis.</w:t>
      </w:r>
      <w:r w:rsidDel="00000000" w:rsidR="00000000" w:rsidRPr="00000000">
        <w:rPr>
          <w:rtl w:val="0"/>
        </w:rPr>
      </w:r>
    </w:p>
    <w:p w:rsidR="00000000" w:rsidDel="00000000" w:rsidP="00000000" w:rsidRDefault="00000000" w:rsidRPr="00000000" w14:paraId="0000000C">
      <w:pPr>
        <w:pStyle w:val="Heading3"/>
        <w:rPr/>
      </w:pPr>
      <w:bookmarkStart w:colFirst="0" w:colLast="0" w:name="_y4hljkof9910" w:id="4"/>
      <w:bookmarkEnd w:id="4"/>
      <w:r w:rsidDel="00000000" w:rsidR="00000000" w:rsidRPr="00000000">
        <w:rPr>
          <w:rtl w:val="0"/>
        </w:rPr>
        <w:t xml:space="preserve">Heading 3</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Praesent cursus elementum porta. Maecenas et mauris vel nulla tincidunt iaculis quis nec mauris. Morbi dapibus diam vel nibh luctus, ut volutpat sem sollicitudin. Cras a sapien efficitur, imperdiet dolor nec, ornare orci. Ut sollicitudin vel tortor eget bibendum. Aliquam purus mi, mollis quis purus nec, dapibus pulvinar neque. Nullam quis diam iaculis, pulvinar est sed, dictum elit. Vestibulum ante ipsum primis in faucibus orci luctus et ultrices posuere cubilia curae; Suspendisse quis imperdiet risus. Mauris vulputate lectus ut risus bibendum, vel eleifend orci volutpat. Sed lacinia vitae massa nec tincidunt. Aenean tellus tortor, sagittis sit amet elit ac, tempus volutpat quam.</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Lorem ipsum dolor sit amet, consectetur adipiscing elit. In quam est, facilisis vel urna in, pretium efficitur nunc. Phasellus sit amet ex eget libero lacinia fringilla at ac urna. Aliquam euismod sem id tempus placerat. Quisque leo eros, tempor ut placerat vitae, suscipit non nunc. Duis tincidunt dapibus arcu, vel fermentum nunc tincidunt scelerisque. Nullam dapibus, erat quis semper imperdiet, nibh turpis facilisis arcu, et rutrum ligula elit id justo. Pellentesque non dui vel neque sagittis posuere ut sed felis.</w:t>
      </w:r>
    </w:p>
    <w:p w:rsidR="00000000" w:rsidDel="00000000" w:rsidP="00000000" w:rsidRDefault="00000000" w:rsidRPr="00000000" w14:paraId="0000000F">
      <w:pPr>
        <w:rPr/>
      </w:pPr>
      <w:r w:rsidDel="00000000" w:rsidR="00000000" w:rsidRPr="00000000">
        <w:rPr>
          <w:rtl w:val="0"/>
        </w:rPr>
        <w:t xml:space="preserve">Praesent cursus elementum porta. Maecenas et mauris vel nulla tincidunt iaculis quis nec mauris. Morbi dapibus diam vel nibh luctus, ut volutpat sem sollicitudin. Cras a sapien efficitur, imperdiet dolor nec, ornare orci. Ut sollicitudin vel tortor eget bibendum. Aliquam purus mi, mollis quis purus nec, dapibus pulvinar neque.</w:t>
      </w:r>
    </w:p>
    <w:p w:rsidR="00000000" w:rsidDel="00000000" w:rsidP="00000000" w:rsidRDefault="00000000" w:rsidRPr="00000000" w14:paraId="00000010">
      <w:pPr>
        <w:spacing w:after="144" w:line="276" w:lineRule="auto"/>
        <w:rPr>
          <w:rFonts w:ascii="Montserrat Light" w:cs="Montserrat Light" w:eastAsia="Montserrat Light" w:hAnsi="Montserrat Light"/>
          <w:sz w:val="18"/>
          <w:szCs w:val="18"/>
        </w:rPr>
      </w:pPr>
      <w:r w:rsidDel="00000000" w:rsidR="00000000" w:rsidRPr="00000000">
        <w:rPr/>
        <mc:AlternateContent>
          <mc:Choice Requires="wpg">
            <w:drawing>
              <wp:inline distB="114300" distT="114300" distL="114300" distR="114300">
                <wp:extent cx="5943600" cy="4191000"/>
                <wp:effectExtent b="0" l="0" r="0" t="0"/>
                <wp:docPr id="3" name=""/>
                <a:graphic>
                  <a:graphicData uri="http://schemas.microsoft.com/office/word/2010/wordprocessingGroup">
                    <wpg:wgp>
                      <wpg:cNvGrpSpPr/>
                      <wpg:grpSpPr>
                        <a:xfrm>
                          <a:off x="1380100" y="1118925"/>
                          <a:ext cx="5943600" cy="4191000"/>
                          <a:chOff x="1380100" y="1118925"/>
                          <a:chExt cx="7708450" cy="4469425"/>
                        </a:xfrm>
                      </wpg:grpSpPr>
                      <wps:wsp>
                        <wps:cNvSpPr/>
                        <wps:cNvPr id="2" name="Shape 2"/>
                        <wps:spPr>
                          <a:xfrm>
                            <a:off x="1383200" y="1124475"/>
                            <a:ext cx="7702200" cy="4458000"/>
                          </a:xfrm>
                          <a:prstGeom prst="rect">
                            <a:avLst/>
                          </a:prstGeom>
                          <a:solidFill>
                            <a:srgbClr val="EFEFEF"/>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CnPr/>
                        <wps:spPr>
                          <a:xfrm>
                            <a:off x="1383492" y="1124795"/>
                            <a:ext cx="7701600" cy="4457700"/>
                          </a:xfrm>
                          <a:prstGeom prst="straightConnector1">
                            <a:avLst/>
                          </a:prstGeom>
                          <a:noFill/>
                          <a:ln cap="flat" cmpd="sng" w="13475">
                            <a:solidFill>
                              <a:srgbClr val="999999"/>
                            </a:solidFill>
                            <a:prstDash val="solid"/>
                            <a:round/>
                            <a:headEnd len="med" w="med" type="none"/>
                            <a:tailEnd len="med" w="med" type="none"/>
                          </a:ln>
                        </wps:spPr>
                        <wps:bodyPr anchorCtr="0" anchor="ctr" bIns="129275" lIns="129275" spcFirstLastPara="1" rIns="129275" wrap="square" tIns="129275">
                          <a:noAutofit/>
                        </wps:bodyPr>
                      </wps:wsp>
                      <wps:wsp>
                        <wps:cNvCnPr/>
                        <wps:spPr>
                          <a:xfrm flipH="1" rot="10800000">
                            <a:off x="1383563" y="1124762"/>
                            <a:ext cx="7701600" cy="4457700"/>
                          </a:xfrm>
                          <a:prstGeom prst="straightConnector1">
                            <a:avLst/>
                          </a:prstGeom>
                          <a:noFill/>
                          <a:ln cap="flat" cmpd="sng" w="13475">
                            <a:solidFill>
                              <a:srgbClr val="999999"/>
                            </a:solidFill>
                            <a:prstDash val="solid"/>
                            <a:round/>
                            <a:headEnd len="med" w="med" type="none"/>
                            <a:tailEnd len="med" w="med" type="none"/>
                          </a:ln>
                        </wps:spPr>
                        <wps:bodyPr anchorCtr="0" anchor="ctr" bIns="129275" lIns="129275" spcFirstLastPara="1" rIns="129275" wrap="square" tIns="129275">
                          <a:noAutofit/>
                        </wps:bodyPr>
                      </wps:wsp>
                    </wpg:wgp>
                  </a:graphicData>
                </a:graphic>
              </wp:inline>
            </w:drawing>
          </mc:Choice>
          <mc:Fallback>
            <w:drawing>
              <wp:inline distB="114300" distT="114300" distL="114300" distR="114300">
                <wp:extent cx="5943600" cy="4191000"/>
                <wp:effectExtent b="0" l="0" r="0" t="0"/>
                <wp:docPr id="3"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5943600" cy="4191000"/>
                        </a:xfrm>
                        <a:prstGeom prst="rect"/>
                        <a:ln/>
                      </pic:spPr>
                    </pic:pic>
                  </a:graphicData>
                </a:graphic>
              </wp:inline>
            </w:drawing>
          </mc:Fallback>
        </mc:AlternateContent>
      </w:r>
      <w:r w:rsidDel="00000000" w:rsidR="00000000" w:rsidRPr="00000000">
        <w:rPr>
          <w:color w:val="000000"/>
          <w:rtl w:val="0"/>
        </w:rPr>
        <w:br w:type="textWrapping"/>
      </w:r>
      <w:r w:rsidDel="00000000" w:rsidR="00000000" w:rsidRPr="00000000">
        <w:rPr>
          <w:rFonts w:ascii="Montserrat Light" w:cs="Montserrat Light" w:eastAsia="Montserrat Light" w:hAnsi="Montserrat Light"/>
          <w:sz w:val="18"/>
          <w:szCs w:val="18"/>
          <w:rtl w:val="0"/>
        </w:rPr>
        <w:t xml:space="preserve">Image Caption</w:t>
      </w: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Ut dignissim suscipit aliquet. Sed lacinia fermentum arcu nec dictum. Morbi posuere rutrum gravida. Integer pharetra molestie bibendum. Quisque malesuada sem at vulputate vestibulum. Curabitur interdum turpis odio, ac tincidunt sapien gravida vitae. Vivamus ac dolor pretium, tincidunt risus eu, placerat felis. Donec in quam pellentesque, hendrerit quam id, convallis dui. In efficitur lobortis tellus, sed elementum ligula gravida ac. Nunc odio purus, congue in tincidunt vel, pretium ac nunc. Donec nunc odio, convallis feugiat sem non, ullamcorper feugiat neque. Integer maximus lacinia tristique. Donec sed purus dictum, commodo orci quis, hendrerit massa.</w:t>
      </w:r>
      <w:r w:rsidDel="00000000" w:rsidR="00000000" w:rsidRPr="00000000">
        <w:br w:type="page"/>
      </w:r>
      <w:r w:rsidDel="00000000" w:rsidR="00000000" w:rsidRPr="00000000">
        <w:rPr>
          <w:rtl w:val="0"/>
        </w:rPr>
      </w:r>
    </w:p>
    <w:p w:rsidR="00000000" w:rsidDel="00000000" w:rsidP="00000000" w:rsidRDefault="00000000" w:rsidRPr="00000000" w14:paraId="00000012">
      <w:pPr>
        <w:pStyle w:val="Heading2"/>
        <w:rPr/>
      </w:pPr>
      <w:bookmarkStart w:colFirst="0" w:colLast="0" w:name="_6rs5l0mzqnpx" w:id="5"/>
      <w:bookmarkEnd w:id="5"/>
      <w:r w:rsidDel="00000000" w:rsidR="00000000" w:rsidRPr="00000000">
        <w:rPr>
          <w:rtl w:val="0"/>
        </w:rPr>
        <w:t xml:space="preserve">About the author(s)</w:t>
      </w:r>
    </w:p>
    <w:p w:rsidR="00000000" w:rsidDel="00000000" w:rsidP="00000000" w:rsidRDefault="00000000" w:rsidRPr="00000000" w14:paraId="00000013">
      <w:pPr>
        <w:rPr/>
      </w:pPr>
      <w:r w:rsidDel="00000000" w:rsidR="00000000" w:rsidRPr="00000000">
        <w:rPr>
          <w:rtl w:val="0"/>
        </w:rPr>
        <w:t xml:space="preserve">Please add information about you relevant to this contribution.</w:t>
      </w:r>
      <w:r w:rsidDel="00000000" w:rsidR="00000000" w:rsidRPr="00000000">
        <w:rPr>
          <w:rtl w:val="0"/>
        </w:rPr>
      </w:r>
    </w:p>
    <w:p w:rsidR="00000000" w:rsidDel="00000000" w:rsidP="00000000" w:rsidRDefault="00000000" w:rsidRPr="00000000" w14:paraId="00000014">
      <w:pPr>
        <w:pStyle w:val="Heading2"/>
        <w:rPr/>
      </w:pPr>
      <w:bookmarkStart w:colFirst="0" w:colLast="0" w:name="_vt89sg72bkk6" w:id="6"/>
      <w:bookmarkEnd w:id="6"/>
      <w:r w:rsidDel="00000000" w:rsidR="00000000" w:rsidRPr="00000000">
        <w:rPr>
          <w:rtl w:val="0"/>
        </w:rPr>
        <w:t xml:space="preserve">Conflict of interest statement</w:t>
      </w:r>
    </w:p>
    <w:p w:rsidR="00000000" w:rsidDel="00000000" w:rsidP="00000000" w:rsidRDefault="00000000" w:rsidRPr="00000000" w14:paraId="00000015">
      <w:pPr>
        <w:rPr/>
      </w:pPr>
      <w:r w:rsidDel="00000000" w:rsidR="00000000" w:rsidRPr="00000000">
        <w:rPr>
          <w:rtl w:val="0"/>
        </w:rPr>
        <w:t xml:space="preserve">Please fill this out even if you have no conflict of interest to report.</w:t>
      </w:r>
      <w:r w:rsidDel="00000000" w:rsidR="00000000" w:rsidRPr="00000000">
        <w:rPr>
          <w:rtl w:val="0"/>
        </w:rPr>
      </w:r>
    </w:p>
    <w:p w:rsidR="00000000" w:rsidDel="00000000" w:rsidP="00000000" w:rsidRDefault="00000000" w:rsidRPr="00000000" w14:paraId="00000016">
      <w:pPr>
        <w:pStyle w:val="Heading2"/>
        <w:rPr/>
      </w:pPr>
      <w:bookmarkStart w:colFirst="0" w:colLast="0" w:name="_w3o4k8xydjy8" w:id="7"/>
      <w:bookmarkEnd w:id="7"/>
      <w:r w:rsidDel="00000000" w:rsidR="00000000" w:rsidRPr="00000000">
        <w:rPr>
          <w:rtl w:val="0"/>
        </w:rPr>
        <w:t xml:space="preserve">Use of AI statement</w:t>
      </w:r>
    </w:p>
    <w:p w:rsidR="00000000" w:rsidDel="00000000" w:rsidP="00000000" w:rsidRDefault="00000000" w:rsidRPr="00000000" w14:paraId="00000017">
      <w:pPr>
        <w:rPr/>
      </w:pPr>
      <w:r w:rsidDel="00000000" w:rsidR="00000000" w:rsidRPr="00000000">
        <w:rPr>
          <w:rtl w:val="0"/>
        </w:rPr>
        <w:t xml:space="preserve">Tradition–Innovations welcomes the use of AI tools in scholarly, pedagogical, and creative work. Contributors may use AI as part of research, writing, design, or artistic practice. When AI use meaningfully shapes authorship, creative agency, representation, or interpretation, authors should include a brief disclosure describing how the tool was used. </w:t>
      </w:r>
    </w:p>
    <w:p w:rsidR="00000000" w:rsidDel="00000000" w:rsidP="00000000" w:rsidRDefault="00000000" w:rsidRPr="00000000" w14:paraId="00000018">
      <w:pPr>
        <w:rPr/>
      </w:pPr>
      <w:r w:rsidDel="00000000" w:rsidR="00000000" w:rsidRPr="00000000">
        <w:rPr>
          <w:rtl w:val="0"/>
        </w:rPr>
        <w:t xml:space="preserve">Technical details about how the specific AI systems used, are not required unless it is materially meaningful for transparency required by established publishing ethics frameworks, including COPE principles on authorship and transparency, and the EU AI Act’s emphasis on proportional disclosure, human accountability, and responsible use. </w:t>
      </w:r>
    </w:p>
    <w:p w:rsidR="00000000" w:rsidDel="00000000" w:rsidP="00000000" w:rsidRDefault="00000000" w:rsidRPr="00000000" w14:paraId="00000019">
      <w:pPr>
        <w:rPr/>
      </w:pPr>
      <w:r w:rsidDel="00000000" w:rsidR="00000000" w:rsidRPr="00000000">
        <w:rPr>
          <w:rtl w:val="0"/>
        </w:rPr>
        <w:t xml:space="preserve">Responsibility for the accuracy, integrity, and ethical presentation of the work rests with the human author(s): AI tools are treated as instruments or media, not as authors.</w:t>
      </w:r>
    </w:p>
    <w:p w:rsidR="00000000" w:rsidDel="00000000" w:rsidP="00000000" w:rsidRDefault="00000000" w:rsidRPr="00000000" w14:paraId="0000001A">
      <w:pPr>
        <w:rPr/>
      </w:pPr>
      <w:r w:rsidDel="00000000" w:rsidR="00000000" w:rsidRPr="00000000">
        <w:rPr>
          <w:rtl w:val="0"/>
        </w:rPr>
        <w:t xml:space="preserve">A standard disclosure is sufficient in most cases. Please feel free to adapt this standard language as needed: “The contributor(s) used a general-purpose AI system to assist with drafting, revision, or media generation. The AI functioned as a tool within the creative or scholarly process; all interpretive, editorial, and creative decisions remain the responsibility of the author(s).” </w:t>
      </w:r>
    </w:p>
    <w:p w:rsidR="00000000" w:rsidDel="00000000" w:rsidP="00000000" w:rsidRDefault="00000000" w:rsidRPr="00000000" w14:paraId="0000001B">
      <w:pPr>
        <w:rPr/>
      </w:pPr>
      <w:r w:rsidDel="00000000" w:rsidR="00000000" w:rsidRPr="00000000">
        <w:rPr>
          <w:rtl w:val="0"/>
        </w:rPr>
        <w:t xml:space="preserve">Additional detail should be included when it meaningfully informs readers, such as naming a specific model or briefly explaining how AI outputs were reviewed or curated. More extended discussion is necessary when the AI system itself is the object of study, the work evaluates or compares models, the argument depends on model behavior or bias. </w:t>
      </w:r>
    </w:p>
    <w:p w:rsidR="00000000" w:rsidDel="00000000" w:rsidP="00000000" w:rsidRDefault="00000000" w:rsidRPr="00000000" w14:paraId="0000001C">
      <w:pPr>
        <w:rPr/>
      </w:pPr>
      <w:r w:rsidDel="00000000" w:rsidR="00000000" w:rsidRPr="00000000">
        <w:rPr>
          <w:rtl w:val="0"/>
        </w:rPr>
        <w:t xml:space="preserve">If a contribution involves synthetic voices, likenesses, or performances, contributors must clearly disclose the use and nature of synthetic representation, ensure that such representations are not deceptive or non-consensual, and provide sufficient context for readers to understand the artistic or scholarly intent, in line with COPE publishing ethics and the EU AI Act’s transparency principles.</w:t>
      </w:r>
      <w:r w:rsidDel="00000000" w:rsidR="00000000" w:rsidRPr="00000000">
        <w:br w:type="page"/>
      </w:r>
      <w:r w:rsidDel="00000000" w:rsidR="00000000" w:rsidRPr="00000000">
        <w:rPr>
          <w:rtl w:val="0"/>
        </w:rPr>
      </w:r>
    </w:p>
    <w:p w:rsidR="00000000" w:rsidDel="00000000" w:rsidP="00000000" w:rsidRDefault="00000000" w:rsidRPr="00000000" w14:paraId="0000001D">
      <w:pPr>
        <w:pStyle w:val="Heading2"/>
        <w:spacing w:after="144" w:lineRule="auto"/>
        <w:rPr/>
      </w:pPr>
      <w:bookmarkStart w:colFirst="0" w:colLast="0" w:name="_ttoiap7z9uub" w:id="8"/>
      <w:bookmarkEnd w:id="8"/>
      <w:r w:rsidDel="00000000" w:rsidR="00000000" w:rsidRPr="00000000">
        <w:rPr>
          <w:rtl w:val="0"/>
        </w:rPr>
        <w:t xml:space="preserve">References</w:t>
      </w:r>
    </w:p>
    <w:p w:rsidR="00000000" w:rsidDel="00000000" w:rsidP="00000000" w:rsidRDefault="00000000" w:rsidRPr="00000000" w14:paraId="0000001E">
      <w:pPr>
        <w:rPr/>
      </w:pPr>
      <w:r w:rsidDel="00000000" w:rsidR="00000000" w:rsidRPr="00000000">
        <w:rPr>
          <w:rtl w:val="0"/>
        </w:rPr>
        <w:t xml:space="preserve">Tradition-Innovations in Arts, Design, and Media uses APA style references. </w:t>
      </w:r>
    </w:p>
    <w:p w:rsidR="00000000" w:rsidDel="00000000" w:rsidP="00000000" w:rsidRDefault="00000000" w:rsidRPr="00000000" w14:paraId="0000001F">
      <w:pPr>
        <w:rPr/>
      </w:pPr>
      <w:r w:rsidDel="00000000" w:rsidR="00000000" w:rsidRPr="00000000">
        <w:rPr>
          <w:rtl w:val="0"/>
        </w:rPr>
        <w:t xml:space="preserve">List all of the references you cite with full source details in alphabetical order, double-spaced, with hanging indents. </w:t>
      </w:r>
    </w:p>
    <w:p w:rsidR="00000000" w:rsidDel="00000000" w:rsidP="00000000" w:rsidRDefault="00000000" w:rsidRPr="00000000" w14:paraId="00000020">
      <w:pPr>
        <w:rPr/>
      </w:pPr>
      <w:r w:rsidDel="00000000" w:rsidR="00000000" w:rsidRPr="00000000">
        <w:rPr>
          <w:rtl w:val="0"/>
        </w:rPr>
        <w:t xml:space="preserve">Examples of APA style references used in past </w:t>
      </w:r>
      <w:r w:rsidDel="00000000" w:rsidR="00000000" w:rsidRPr="00000000">
        <w:rPr>
          <w:i w:val="1"/>
          <w:iCs w:val="1"/>
          <w:rtl w:val="0"/>
        </w:rPr>
        <w:t xml:space="preserve">Tradition-Innovations in Arts, Design, and Media Higher Education</w:t>
      </w:r>
      <w:r w:rsidDel="00000000" w:rsidR="00000000" w:rsidRPr="00000000">
        <w:rPr>
          <w:rtl w:val="0"/>
        </w:rPr>
        <w:t xml:space="preserve"> are listed below to provide an overview of the style. For an official resource for APA references go to </w:t>
      </w:r>
      <w:hyperlink r:id="rId7">
        <w:r w:rsidDel="00000000" w:rsidR="00000000" w:rsidRPr="00000000">
          <w:rPr>
            <w:color w:val="1155cc"/>
            <w:u w:val="single"/>
            <w:rtl w:val="0"/>
          </w:rPr>
          <w:t xml:space="preserve">References - APA Style</w:t>
        </w:r>
      </w:hyperlink>
      <w:r w:rsidDel="00000000" w:rsidR="00000000" w:rsidRPr="00000000">
        <w:rPr>
          <w:rtl w:val="0"/>
        </w:rPr>
        <w:t xml:space="preserve"> and </w:t>
      </w:r>
      <w:hyperlink r:id="rId8">
        <w:r w:rsidDel="00000000" w:rsidR="00000000" w:rsidRPr="00000000">
          <w:rPr>
            <w:color w:val="1155cc"/>
            <w:u w:val="single"/>
            <w:rtl w:val="0"/>
          </w:rPr>
          <w:t xml:space="preserve">Reference examples - APA Style</w:t>
        </w:r>
      </w:hyperlink>
      <w:r w:rsidDel="00000000" w:rsidR="00000000" w:rsidRPr="00000000">
        <w:rPr>
          <w:rtl w:val="0"/>
        </w:rPr>
        <w:t xml:space="preserve">.</w:t>
      </w:r>
    </w:p>
    <w:p w:rsidR="00000000" w:rsidDel="00000000" w:rsidP="00000000" w:rsidRDefault="00000000" w:rsidRPr="00000000" w14:paraId="00000021">
      <w:pPr>
        <w:pStyle w:val="Heading3"/>
        <w:spacing w:before="320" w:lineRule="auto"/>
        <w:ind w:left="630"/>
        <w:rPr/>
      </w:pPr>
      <w:bookmarkStart w:colFirst="0" w:colLast="0" w:name="_nfif1hj63ao4" w:id="9"/>
      <w:bookmarkEnd w:id="9"/>
      <w:r w:rsidDel="00000000" w:rsidR="00000000" w:rsidRPr="00000000">
        <w:rPr>
          <w:rtl w:val="0"/>
        </w:rPr>
        <w:t xml:space="preserve">Conference proceedings</w:t>
      </w:r>
    </w:p>
    <w:p w:rsidR="00000000" w:rsidDel="00000000" w:rsidP="00000000" w:rsidRDefault="00000000" w:rsidRPr="00000000" w14:paraId="00000022">
      <w:pPr>
        <w:ind w:left="630"/>
        <w:rPr/>
      </w:pPr>
      <w:r w:rsidDel="00000000" w:rsidR="00000000" w:rsidRPr="00000000">
        <w:rPr>
          <w:rtl w:val="0"/>
        </w:rPr>
        <w:t xml:space="preserve">Buolamwini, J., &amp; Gebru, T. (2018). Gender Shades: Intersectional Accuracy Disparities in Commercial Gender Classification. </w:t>
      </w:r>
      <w:r w:rsidDel="00000000" w:rsidR="00000000" w:rsidRPr="00000000">
        <w:rPr>
          <w:i w:val="1"/>
          <w:iCs w:val="1"/>
          <w:rtl w:val="0"/>
        </w:rPr>
        <w:t xml:space="preserve">Proceedings of the 1st Conference on Fairness, Accountability and Transparency</w:t>
      </w:r>
      <w:r w:rsidDel="00000000" w:rsidR="00000000" w:rsidRPr="00000000">
        <w:rPr>
          <w:rtl w:val="0"/>
        </w:rPr>
        <w:t xml:space="preserve">, in </w:t>
      </w:r>
      <w:r w:rsidDel="00000000" w:rsidR="00000000" w:rsidRPr="00000000">
        <w:rPr>
          <w:i w:val="1"/>
          <w:iCs w:val="1"/>
          <w:rtl w:val="0"/>
        </w:rPr>
        <w:t xml:space="preserve">Proceedings of Machine Learning Research</w:t>
      </w:r>
      <w:r w:rsidDel="00000000" w:rsidR="00000000" w:rsidRPr="00000000">
        <w:rPr>
          <w:rtl w:val="0"/>
        </w:rPr>
        <w:t xml:space="preserve"> 81:77-91 Available from </w:t>
      </w:r>
      <w:hyperlink r:id="rId9">
        <w:r w:rsidDel="00000000" w:rsidR="00000000" w:rsidRPr="00000000">
          <w:rPr>
            <w:color w:val="1155cc"/>
            <w:u w:val="single"/>
            <w:rtl w:val="0"/>
          </w:rPr>
          <w:t xml:space="preserve">https://proceedings.mlr.press/v81/buolamwini18a.html</w:t>
        </w:r>
      </w:hyperlink>
      <w:r w:rsidDel="00000000" w:rsidR="00000000" w:rsidRPr="00000000">
        <w:rPr>
          <w:rtl w:val="0"/>
        </w:rPr>
        <w:t xml:space="preserve">.</w:t>
      </w:r>
    </w:p>
    <w:p w:rsidR="00000000" w:rsidDel="00000000" w:rsidP="00000000" w:rsidRDefault="00000000" w:rsidRPr="00000000" w14:paraId="00000023">
      <w:pPr>
        <w:pStyle w:val="Heading3"/>
        <w:spacing w:before="320" w:lineRule="auto"/>
        <w:ind w:left="630"/>
        <w:rPr/>
      </w:pPr>
      <w:bookmarkStart w:colFirst="0" w:colLast="0" w:name="_yl89n2lcmvj9" w:id="10"/>
      <w:bookmarkEnd w:id="10"/>
      <w:r w:rsidDel="00000000" w:rsidR="00000000" w:rsidRPr="00000000">
        <w:rPr>
          <w:rtl w:val="0"/>
        </w:rPr>
        <w:t xml:space="preserve">Articles</w:t>
      </w:r>
    </w:p>
    <w:p w:rsidR="00000000" w:rsidDel="00000000" w:rsidP="00000000" w:rsidRDefault="00000000" w:rsidRPr="00000000" w14:paraId="00000024">
      <w:pPr>
        <w:ind w:left="630"/>
        <w:rPr/>
      </w:pPr>
      <w:r w:rsidDel="00000000" w:rsidR="00000000" w:rsidRPr="00000000">
        <w:rPr>
          <w:rtl w:val="0"/>
        </w:rPr>
        <w:t xml:space="preserve">Castellanos, C. (2024). Intersections of Living and Machine Agencies: Art-based models of adaptive conversation with the more-than-human world. </w:t>
      </w:r>
      <w:r w:rsidDel="00000000" w:rsidR="00000000" w:rsidRPr="00000000">
        <w:rPr>
          <w:i w:val="1"/>
          <w:iCs w:val="1"/>
          <w:rtl w:val="0"/>
        </w:rPr>
        <w:t xml:space="preserve">Tradition-Innovations in Arts, Design, and Media Higher Education, 1</w:t>
      </w:r>
      <w:r w:rsidDel="00000000" w:rsidR="00000000" w:rsidRPr="00000000">
        <w:rPr>
          <w:rtl w:val="0"/>
        </w:rPr>
        <w:t xml:space="preserve">(1). </w:t>
      </w:r>
      <w:hyperlink r:id="rId10">
        <w:r w:rsidDel="00000000" w:rsidR="00000000" w:rsidRPr="00000000">
          <w:rPr>
            <w:color w:val="1155cc"/>
            <w:u w:val="single"/>
            <w:rtl w:val="0"/>
          </w:rPr>
          <w:t xml:space="preserve">https://doi.org/10.9741/2996-4873.1008</w:t>
        </w:r>
      </w:hyperlink>
      <w:r w:rsidDel="00000000" w:rsidR="00000000" w:rsidRPr="00000000">
        <w:rPr>
          <w:rtl w:val="0"/>
        </w:rPr>
      </w:r>
    </w:p>
    <w:p w:rsidR="00000000" w:rsidDel="00000000" w:rsidP="00000000" w:rsidRDefault="00000000" w:rsidRPr="00000000" w14:paraId="00000025">
      <w:pPr>
        <w:ind w:left="630"/>
        <w:rPr/>
      </w:pPr>
      <w:r w:rsidDel="00000000" w:rsidR="00000000" w:rsidRPr="00000000">
        <w:rPr>
          <w:rtl w:val="0"/>
        </w:rPr>
        <w:t xml:space="preserve">Cardini, P., &amp; Noguera, J. (2024). Modern tools, ancient skills: An attempted dialogue between AI, design, and traditional craft. </w:t>
      </w:r>
      <w:r w:rsidDel="00000000" w:rsidR="00000000" w:rsidRPr="00000000">
        <w:rPr>
          <w:i w:val="1"/>
          <w:iCs w:val="1"/>
          <w:rtl w:val="0"/>
        </w:rPr>
        <w:t xml:space="preserve">Tradition-Innovations in Arts, Design, and Media Higher Education, 1</w:t>
      </w:r>
      <w:r w:rsidDel="00000000" w:rsidR="00000000" w:rsidRPr="00000000">
        <w:rPr>
          <w:rtl w:val="0"/>
        </w:rPr>
        <w:t xml:space="preserve">(1). </w:t>
      </w:r>
      <w:hyperlink r:id="rId11">
        <w:r w:rsidDel="00000000" w:rsidR="00000000" w:rsidRPr="00000000">
          <w:rPr>
            <w:color w:val="1155cc"/>
            <w:u w:val="single"/>
            <w:rtl w:val="0"/>
          </w:rPr>
          <w:t xml:space="preserve">https://doi.org/10.9741/2996-4873.1019</w:t>
        </w:r>
      </w:hyperlink>
      <w:r w:rsidDel="00000000" w:rsidR="00000000" w:rsidRPr="00000000">
        <w:rPr>
          <w:rtl w:val="0"/>
        </w:rPr>
      </w:r>
    </w:p>
    <w:p w:rsidR="00000000" w:rsidDel="00000000" w:rsidP="00000000" w:rsidRDefault="00000000" w:rsidRPr="00000000" w14:paraId="00000026">
      <w:pPr>
        <w:pStyle w:val="Heading3"/>
        <w:spacing w:before="320" w:lineRule="auto"/>
        <w:ind w:left="630"/>
        <w:rPr/>
      </w:pPr>
      <w:bookmarkStart w:colFirst="0" w:colLast="0" w:name="_iks66oslf4vx" w:id="11"/>
      <w:bookmarkEnd w:id="11"/>
      <w:r w:rsidDel="00000000" w:rsidR="00000000" w:rsidRPr="00000000">
        <w:rPr>
          <w:rtl w:val="0"/>
        </w:rPr>
        <w:t xml:space="preserve">U.S. Executive order</w:t>
      </w:r>
    </w:p>
    <w:p w:rsidR="00000000" w:rsidDel="00000000" w:rsidP="00000000" w:rsidRDefault="00000000" w:rsidRPr="00000000" w14:paraId="00000027">
      <w:pPr>
        <w:ind w:left="630"/>
        <w:rPr/>
      </w:pPr>
      <w:r w:rsidDel="00000000" w:rsidR="00000000" w:rsidRPr="00000000">
        <w:rPr>
          <w:rtl w:val="0"/>
        </w:rPr>
        <w:t xml:space="preserve">Exec. Order No. 14110, 88 FR 75191 (2023) </w:t>
      </w:r>
      <w:hyperlink r:id="rId12">
        <w:r w:rsidDel="00000000" w:rsidR="00000000" w:rsidRPr="00000000">
          <w:rPr>
            <w:color w:val="1155cc"/>
            <w:u w:val="single"/>
            <w:rtl w:val="0"/>
          </w:rPr>
          <w:t xml:space="preserve">https://www.whitehouse.gov/briefing-room/presidential-actions/2023/10/30/executive-</w:t>
        </w:r>
      </w:hyperlink>
      <w:hyperlink r:id="rId13">
        <w:r w:rsidDel="00000000" w:rsidR="00000000" w:rsidRPr="00000000">
          <w:rPr>
            <w:color w:val="1155cc"/>
            <w:u w:val="single"/>
            <w:rtl w:val="0"/>
          </w:rPr>
          <w:t xml:space="preserve">order-on-the-safe-secure-and-trustworthy-development-and-use-of-artificial-intellige</w:t>
        </w:r>
      </w:hyperlink>
      <w:hyperlink r:id="rId14">
        <w:r w:rsidDel="00000000" w:rsidR="00000000" w:rsidRPr="00000000">
          <w:rPr>
            <w:color w:val="1155cc"/>
            <w:u w:val="single"/>
            <w:rtl w:val="0"/>
          </w:rPr>
          <w:t xml:space="preserve">nce</w:t>
        </w:r>
      </w:hyperlink>
      <w:hyperlink r:id="rId15">
        <w:r w:rsidDel="00000000" w:rsidR="00000000" w:rsidRPr="00000000">
          <w:rPr>
            <w:color w:val="1155cc"/>
            <w:u w:val="single"/>
            <w:rtl w:val="0"/>
          </w:rPr>
          <w:t xml:space="preserve">/</w:t>
        </w:r>
      </w:hyperlink>
      <w:r w:rsidDel="00000000" w:rsidR="00000000" w:rsidRPr="00000000">
        <w:rPr>
          <w:rtl w:val="0"/>
        </w:rPr>
      </w:r>
    </w:p>
    <w:p w:rsidR="00000000" w:rsidDel="00000000" w:rsidP="00000000" w:rsidRDefault="00000000" w:rsidRPr="00000000" w14:paraId="00000028">
      <w:pPr>
        <w:pStyle w:val="Heading3"/>
        <w:spacing w:before="320" w:lineRule="auto"/>
        <w:ind w:left="630"/>
        <w:rPr/>
      </w:pPr>
      <w:bookmarkStart w:colFirst="0" w:colLast="0" w:name="_mej2mu5xoyng" w:id="12"/>
      <w:bookmarkEnd w:id="12"/>
      <w:r w:rsidDel="00000000" w:rsidR="00000000" w:rsidRPr="00000000">
        <w:rPr>
          <w:rtl w:val="0"/>
        </w:rPr>
        <w:t xml:space="preserve">Panel discussion without a website link providing additional information</w:t>
      </w:r>
    </w:p>
    <w:p w:rsidR="00000000" w:rsidDel="00000000" w:rsidP="00000000" w:rsidRDefault="00000000" w:rsidRPr="00000000" w14:paraId="00000029">
      <w:pPr>
        <w:ind w:left="630"/>
        <w:rPr/>
      </w:pPr>
      <w:r w:rsidDel="00000000" w:rsidR="00000000" w:rsidRPr="00000000">
        <w:rPr>
          <w:rtl w:val="0"/>
        </w:rPr>
        <w:t xml:space="preserve">Brown, S., Treviranus, J. Weintraub, C., Ondrick, D. (2024, April 5), </w:t>
      </w:r>
      <w:r w:rsidDel="00000000" w:rsidR="00000000" w:rsidRPr="00000000">
        <w:rPr>
          <w:i w:val="1"/>
          <w:iCs w:val="1"/>
          <w:rtl w:val="0"/>
        </w:rPr>
        <w:t xml:space="preserve">Toward Better Tools: Shaping the Future of AI for the Arts and Design in Higher Education </w:t>
      </w:r>
      <w:r w:rsidDel="00000000" w:rsidR="00000000" w:rsidRPr="00000000">
        <w:rPr>
          <w:rtl w:val="0"/>
        </w:rPr>
        <w:t xml:space="preserve">[Panel discussion]. a2ru webinar, online. </w:t>
      </w:r>
    </w:p>
    <w:p w:rsidR="00000000" w:rsidDel="00000000" w:rsidP="00000000" w:rsidRDefault="00000000" w:rsidRPr="00000000" w14:paraId="0000002A">
      <w:pPr>
        <w:pStyle w:val="Heading3"/>
        <w:spacing w:before="320" w:lineRule="auto"/>
        <w:ind w:left="630"/>
        <w:rPr/>
      </w:pPr>
      <w:bookmarkStart w:colFirst="0" w:colLast="0" w:name="_9qdhz5t4yenn" w:id="13"/>
      <w:bookmarkEnd w:id="13"/>
      <w:r w:rsidDel="00000000" w:rsidR="00000000" w:rsidRPr="00000000">
        <w:rPr>
          <w:rtl w:val="0"/>
        </w:rPr>
        <w:t xml:space="preserve">Panel discussion with a website link providing additional information</w:t>
      </w:r>
    </w:p>
    <w:p w:rsidR="00000000" w:rsidDel="00000000" w:rsidP="00000000" w:rsidRDefault="00000000" w:rsidRPr="00000000" w14:paraId="0000002B">
      <w:pPr>
        <w:ind w:left="630"/>
        <w:rPr/>
      </w:pPr>
      <w:r w:rsidDel="00000000" w:rsidR="00000000" w:rsidRPr="00000000">
        <w:rPr>
          <w:rtl w:val="0"/>
        </w:rPr>
        <w:t xml:space="preserve">Houy, Y., O’Connell, S., Boisvert, H., Fisher, J., Kilker, J. (2023, October 5). </w:t>
      </w:r>
      <w:hyperlink r:id="rId16">
        <w:r w:rsidDel="00000000" w:rsidR="00000000" w:rsidRPr="00000000">
          <w:rPr>
            <w:color w:val="1155cc"/>
            <w:u w:val="single"/>
            <w:rtl w:val="0"/>
          </w:rPr>
          <w:t xml:space="preserve">AI Provocateurs</w:t>
        </w:r>
      </w:hyperlink>
      <w:r w:rsidDel="00000000" w:rsidR="00000000" w:rsidRPr="00000000">
        <w:rPr>
          <w:rtl w:val="0"/>
        </w:rPr>
        <w:t xml:space="preserve"> [Panel Discussion]. a2ru webinar, online. </w:t>
      </w:r>
    </w:p>
    <w:p w:rsidR="00000000" w:rsidDel="00000000" w:rsidP="00000000" w:rsidRDefault="00000000" w:rsidRPr="00000000" w14:paraId="0000002C">
      <w:pPr>
        <w:pStyle w:val="Heading3"/>
        <w:spacing w:before="320" w:lineRule="auto"/>
        <w:ind w:left="720"/>
        <w:rPr/>
      </w:pPr>
      <w:bookmarkStart w:colFirst="0" w:colLast="0" w:name="_t0xn33qds9uc" w:id="14"/>
      <w:bookmarkEnd w:id="14"/>
      <w:r w:rsidDel="00000000" w:rsidR="00000000" w:rsidRPr="00000000">
        <w:rPr>
          <w:rtl w:val="0"/>
        </w:rPr>
        <w:t xml:space="preserve">AI tools </w:t>
      </w:r>
    </w:p>
    <w:p w:rsidR="00000000" w:rsidDel="00000000" w:rsidP="00000000" w:rsidRDefault="00000000" w:rsidRPr="00000000" w14:paraId="0000002D">
      <w:pPr>
        <w:ind w:left="720"/>
        <w:rPr/>
      </w:pPr>
      <w:r w:rsidDel="00000000" w:rsidR="00000000" w:rsidRPr="00000000">
        <w:rPr>
          <w:rtl w:val="0"/>
        </w:rPr>
        <w:t xml:space="preserve">Midjourney. [n.d.]. Midjourney. Retrieved June 1, 2024, from</w:t>
      </w:r>
      <w:hyperlink r:id="rId17">
        <w:r w:rsidDel="00000000" w:rsidR="00000000" w:rsidRPr="00000000">
          <w:rPr>
            <w:u w:val="single"/>
            <w:rtl w:val="0"/>
          </w:rPr>
          <w:t xml:space="preserve"> </w:t>
        </w:r>
      </w:hyperlink>
      <w:hyperlink r:id="rId18">
        <w:r w:rsidDel="00000000" w:rsidR="00000000" w:rsidRPr="00000000">
          <w:rPr>
            <w:color w:val="1155cc"/>
            <w:u w:val="single"/>
            <w:rtl w:val="0"/>
          </w:rPr>
          <w:t xml:space="preserve">https://www.midjourney.com/home/</w:t>
        </w:r>
      </w:hyperlink>
      <w:r w:rsidDel="00000000" w:rsidR="00000000" w:rsidRPr="00000000">
        <w:rPr>
          <w:rtl w:val="0"/>
        </w:rPr>
      </w:r>
    </w:p>
    <w:p w:rsidR="00000000" w:rsidDel="00000000" w:rsidP="00000000" w:rsidRDefault="00000000" w:rsidRPr="00000000" w14:paraId="0000002E">
      <w:pPr>
        <w:ind w:left="720"/>
        <w:rPr/>
      </w:pPr>
      <w:r w:rsidDel="00000000" w:rsidR="00000000" w:rsidRPr="00000000">
        <w:rPr>
          <w:rtl w:val="0"/>
        </w:rPr>
        <w:t xml:space="preserve">OpenAI. [n.d.]. DALL·E 2. Retrieved June 1, 2024, from</w:t>
      </w:r>
      <w:hyperlink r:id="rId19">
        <w:r w:rsidDel="00000000" w:rsidR="00000000" w:rsidRPr="00000000">
          <w:rPr>
            <w:u w:val="single"/>
            <w:rtl w:val="0"/>
          </w:rPr>
          <w:t xml:space="preserve"> </w:t>
        </w:r>
      </w:hyperlink>
      <w:hyperlink r:id="rId20">
        <w:r w:rsidDel="00000000" w:rsidR="00000000" w:rsidRPr="00000000">
          <w:rPr>
            <w:color w:val="1155cc"/>
            <w:u w:val="single"/>
            <w:rtl w:val="0"/>
          </w:rPr>
          <w:t xml:space="preserve">https://openai.com/dall-e-2/</w:t>
        </w:r>
      </w:hyperlink>
      <w:r w:rsidDel="00000000" w:rsidR="00000000" w:rsidRPr="00000000">
        <w:rPr>
          <w:rtl w:val="0"/>
        </w:rPr>
      </w:r>
    </w:p>
    <w:p w:rsidR="00000000" w:rsidDel="00000000" w:rsidP="00000000" w:rsidRDefault="00000000" w:rsidRPr="00000000" w14:paraId="0000002F">
      <w:pPr>
        <w:ind w:left="720"/>
        <w:rPr/>
      </w:pPr>
      <w:r w:rsidDel="00000000" w:rsidR="00000000" w:rsidRPr="00000000">
        <w:rPr>
          <w:rtl w:val="0"/>
        </w:rPr>
        <w:t xml:space="preserve">Stability.Ai. [n.d.]. Stable Diffusion. Retrieved June 1, 2024, from</w:t>
      </w:r>
      <w:hyperlink r:id="rId21">
        <w:r w:rsidDel="00000000" w:rsidR="00000000" w:rsidRPr="00000000">
          <w:rPr>
            <w:u w:val="single"/>
            <w:rtl w:val="0"/>
          </w:rPr>
          <w:t xml:space="preserve"> </w:t>
        </w:r>
      </w:hyperlink>
      <w:hyperlink r:id="rId22">
        <w:r w:rsidDel="00000000" w:rsidR="00000000" w:rsidRPr="00000000">
          <w:rPr>
            <w:color w:val="1155cc"/>
            <w:u w:val="single"/>
            <w:rtl w:val="0"/>
          </w:rPr>
          <w:t xml:space="preserve">https://stability.ai/</w:t>
        </w:r>
      </w:hyperlink>
      <w:r w:rsidDel="00000000" w:rsidR="00000000" w:rsidRPr="00000000">
        <w:rPr>
          <w:rtl w:val="0"/>
        </w:rPr>
      </w:r>
    </w:p>
    <w:p w:rsidR="00000000" w:rsidDel="00000000" w:rsidP="00000000" w:rsidRDefault="00000000" w:rsidRPr="00000000" w14:paraId="00000030">
      <w:pPr>
        <w:pStyle w:val="Heading3"/>
        <w:spacing w:before="320" w:lineRule="auto"/>
        <w:ind w:left="630"/>
        <w:rPr/>
      </w:pPr>
      <w:bookmarkStart w:colFirst="0" w:colLast="0" w:name="_es36wcl8xo3m" w:id="15"/>
      <w:bookmarkEnd w:id="15"/>
      <w:r w:rsidDel="00000000" w:rsidR="00000000" w:rsidRPr="00000000">
        <w:rPr>
          <w:rtl w:val="0"/>
        </w:rPr>
        <w:t xml:space="preserve">Magazine article</w:t>
      </w:r>
    </w:p>
    <w:p w:rsidR="00000000" w:rsidDel="00000000" w:rsidP="00000000" w:rsidRDefault="00000000" w:rsidRPr="00000000" w14:paraId="00000031">
      <w:pPr>
        <w:ind w:left="630"/>
        <w:rPr/>
      </w:pPr>
      <w:r w:rsidDel="00000000" w:rsidR="00000000" w:rsidRPr="00000000">
        <w:rPr>
          <w:rtl w:val="0"/>
        </w:rPr>
        <w:t xml:space="preserve">Andersen, R. (2023, November 21). </w:t>
      </w:r>
      <w:r w:rsidDel="00000000" w:rsidR="00000000" w:rsidRPr="00000000">
        <w:rPr>
          <w:i w:val="1"/>
          <w:iCs w:val="1"/>
          <w:rtl w:val="0"/>
        </w:rPr>
        <w:t xml:space="preserve">OpenAI’s chief scientist made a tragic miscalculation</w:t>
      </w:r>
      <w:r w:rsidDel="00000000" w:rsidR="00000000" w:rsidRPr="00000000">
        <w:rPr>
          <w:rtl w:val="0"/>
        </w:rPr>
        <w:t xml:space="preserve">. The Atlantic. </w:t>
      </w:r>
      <w:hyperlink r:id="rId23">
        <w:r w:rsidDel="00000000" w:rsidR="00000000" w:rsidRPr="00000000">
          <w:rPr>
            <w:color w:val="1155cc"/>
            <w:u w:val="single"/>
            <w:rtl w:val="0"/>
          </w:rPr>
          <w:t xml:space="preserve">https://www.theatlantic.com/technology/archive/2023/11/openai-ilya-sutskever-sam-altman-fired/676072/</w:t>
        </w:r>
      </w:hyperlink>
      <w:r w:rsidDel="00000000" w:rsidR="00000000" w:rsidRPr="00000000">
        <w:rPr>
          <w:rtl w:val="0"/>
        </w:rPr>
      </w:r>
    </w:p>
    <w:p w:rsidR="00000000" w:rsidDel="00000000" w:rsidP="00000000" w:rsidRDefault="00000000" w:rsidRPr="00000000" w14:paraId="00000032">
      <w:pPr>
        <w:pStyle w:val="Heading3"/>
        <w:spacing w:before="320" w:lineRule="auto"/>
        <w:ind w:left="630"/>
        <w:rPr/>
      </w:pPr>
      <w:bookmarkStart w:colFirst="0" w:colLast="0" w:name="_yjqbafxpnyin" w:id="16"/>
      <w:bookmarkEnd w:id="16"/>
      <w:r w:rsidDel="00000000" w:rsidR="00000000" w:rsidRPr="00000000">
        <w:rPr>
          <w:rtl w:val="0"/>
        </w:rPr>
        <w:t xml:space="preserve">Doctoral dissertation</w:t>
      </w:r>
    </w:p>
    <w:p w:rsidR="00000000" w:rsidDel="00000000" w:rsidP="00000000" w:rsidRDefault="00000000" w:rsidRPr="00000000" w14:paraId="00000033">
      <w:pPr>
        <w:ind w:left="720"/>
        <w:rPr/>
      </w:pPr>
      <w:r w:rsidDel="00000000" w:rsidR="00000000" w:rsidRPr="00000000">
        <w:rPr>
          <w:rtl w:val="0"/>
        </w:rPr>
        <w:t xml:space="preserve">Oketch, F. (2013). Art and conversation: Disturbation in public space (Doctoral dissertation, Oxford University, UK).</w:t>
      </w:r>
      <w:r w:rsidDel="00000000" w:rsidR="00000000" w:rsidRPr="00000000">
        <w:rPr>
          <w:rtl w:val="0"/>
        </w:rPr>
      </w:r>
    </w:p>
    <w:sectPr>
      <w:headerReference r:id="rId24" w:type="default"/>
      <w:headerReference r:id="rId25" w:type="first"/>
      <w:footerReference r:id="rId26" w:type="default"/>
      <w:footerReference r:id="rId27"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Montserrat 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spacing w:after="0" w:before="200" w:lineRule="auto"/>
      <w:rPr/>
    </w:pPr>
    <w:r w:rsidDel="00000000" w:rsidR="00000000" w:rsidRPr="00000000">
      <w:rPr>
        <w:rtl w:val="0"/>
      </w:rPr>
      <w:t xml:space="preserve">Received: </w:t>
      <w:tab/>
      <w:tab/>
      <w:tab/>
      <w:t xml:space="preserve">Accepted: </w:t>
      <w:tab/>
      <w:tab/>
      <w:tab/>
      <w:t xml:space="preserve">Published:</w:t>
    </w:r>
  </w:p>
  <w:p w:rsidR="00000000" w:rsidDel="00000000" w:rsidP="00000000" w:rsidRDefault="00000000" w:rsidRPr="00000000" w14:paraId="00000037">
    <w:pPr>
      <w:rPr/>
    </w:pPr>
    <w:r w:rsidDel="00000000" w:rsidR="00000000" w:rsidRPr="00000000">
      <w:rPr>
        <w:rtl w:val="0"/>
      </w:rPr>
      <w:t xml:space="preserve">—</w:t>
    </w:r>
  </w:p>
  <w:p w:rsidR="00000000" w:rsidDel="00000000" w:rsidP="00000000" w:rsidRDefault="00000000" w:rsidRPr="00000000" w14:paraId="00000038">
    <w:pPr>
      <w:spacing w:line="240" w:lineRule="auto"/>
      <w:rPr>
        <w:rFonts w:ascii="Montserrat Light" w:cs="Montserrat Light" w:eastAsia="Montserrat Light" w:hAnsi="Montserrat Light"/>
      </w:rPr>
    </w:pPr>
    <w:hyperlink r:id="rId1">
      <w:r w:rsidDel="00000000" w:rsidR="00000000" w:rsidRPr="00000000">
        <w:rPr>
          <w:rFonts w:ascii="Montserrat Light" w:cs="Montserrat Light" w:eastAsia="Montserrat Light" w:hAnsi="Montserrat Light"/>
          <w:i w:val="1"/>
          <w:iCs w:val="1"/>
          <w:color w:val="1155cc"/>
          <w:u w:val="single"/>
          <w:rtl w:val="0"/>
        </w:rPr>
        <w:t xml:space="preserve">Tradition-Innovations in Art, Design, and Media Higher Education</w:t>
      </w:r>
    </w:hyperlink>
    <w:r w:rsidDel="00000000" w:rsidR="00000000" w:rsidRPr="00000000">
      <w:rPr>
        <w:rFonts w:ascii="Montserrat Light" w:cs="Montserrat Light" w:eastAsia="Montserrat Light" w:hAnsi="Montserrat Light"/>
        <w:rtl w:val="0"/>
      </w:rPr>
      <w:t xml:space="preserve">, Volume 2. 2026</w:t>
      <w:br w:type="textWrapping"/>
      <w:t xml:space="preserve">Themed Issue on </w:t>
    </w:r>
    <w:r w:rsidDel="00000000" w:rsidR="00000000" w:rsidRPr="00000000">
      <w:rPr>
        <w:rFonts w:ascii="Montserrat Light" w:cs="Montserrat Light" w:eastAsia="Montserrat Light" w:hAnsi="Montserrat Light"/>
        <w:i w:val="1"/>
        <w:iCs w:val="1"/>
        <w:rtl w:val="0"/>
      </w:rPr>
      <w:t xml:space="preserve">Ruptures and Rebirths: The Future of Creativity, Agency, and Education.</w:t>
    </w:r>
    <w:r w:rsidDel="00000000" w:rsidR="00000000" w:rsidRPr="00000000">
      <w:rPr>
        <w:rFonts w:ascii="Montserrat Light" w:cs="Montserrat Light" w:eastAsia="Montserrat Light" w:hAnsi="Montserrat Light"/>
        <w:rtl w:val="0"/>
      </w:rPr>
      <w:t xml:space="preserve"> </w:t>
    </w:r>
  </w:p>
  <w:p w:rsidR="00000000" w:rsidDel="00000000" w:rsidP="00000000" w:rsidRDefault="00000000" w:rsidRPr="00000000" w14:paraId="00000039">
    <w:pPr>
      <w:spacing w:after="0" w:line="240" w:lineRule="auto"/>
      <w:rPr>
        <w:rFonts w:ascii="Montserrat Light" w:cs="Montserrat Light" w:eastAsia="Montserrat Light" w:hAnsi="Montserrat Light"/>
        <w:i w:val="1"/>
        <w:iCs w:val="1"/>
      </w:rPr>
    </w:pPr>
    <w:r w:rsidDel="00000000" w:rsidR="00000000" w:rsidRPr="00000000">
      <w:rPr>
        <w:rFonts w:ascii="Montserrat Light" w:cs="Montserrat Light" w:eastAsia="Montserrat Light" w:hAnsi="Montserrat Light"/>
        <w:rtl w:val="0"/>
      </w:rPr>
      <w:t xml:space="preserve">This work is licensed under Creative Commons Attribution-NonCommercial-NoDerivatives 4.0 International (CC BY-NC-ND 4.0). To view a copy of this license, visit: </w:t>
    </w:r>
    <w:hyperlink r:id="rId2">
      <w:r w:rsidDel="00000000" w:rsidR="00000000" w:rsidRPr="00000000">
        <w:rPr>
          <w:rFonts w:ascii="Montserrat Light" w:cs="Montserrat Light" w:eastAsia="Montserrat Light" w:hAnsi="Montserrat Light"/>
          <w:color w:val="1155cc"/>
          <w:u w:val="single"/>
          <w:rtl w:val="0"/>
        </w:rPr>
        <w:t xml:space="preserve">https://creativecommons.org/licenses/by-nc-nd/4.0/</w:t>
      </w:r>
    </w:hyperlink>
    <w:r w:rsidDel="00000000" w:rsidR="00000000" w:rsidRPr="00000000">
      <w:rPr>
        <w:rtl w:val="0"/>
      </w:rPr>
    </w:r>
  </w:p>
  <w:p w:rsidR="00000000" w:rsidDel="00000000" w:rsidP="00000000" w:rsidRDefault="00000000" w:rsidRPr="00000000" w14:paraId="0000003A">
    <w:pPr>
      <w:spacing w:line="240" w:lineRule="auto"/>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rPr/>
    </w:pPr>
    <w:r w:rsidDel="00000000" w:rsidR="00000000" w:rsidRPr="00000000">
      <w:rPr>
        <w:rtl w:val="0"/>
      </w:rPr>
      <w:t xml:space="preserve">—</w:t>
    </w:r>
  </w:p>
  <w:p w:rsidR="00000000" w:rsidDel="00000000" w:rsidP="00000000" w:rsidRDefault="00000000" w:rsidRPr="00000000" w14:paraId="0000003C">
    <w:pPr>
      <w:spacing w:line="240" w:lineRule="auto"/>
      <w:rPr/>
    </w:pPr>
    <w:hyperlink r:id="rId1">
      <w:r w:rsidDel="00000000" w:rsidR="00000000" w:rsidRPr="00000000">
        <w:rPr>
          <w:rFonts w:ascii="Montserrat Light" w:cs="Montserrat Light" w:eastAsia="Montserrat Light" w:hAnsi="Montserrat Light"/>
          <w:i w:val="1"/>
          <w:iCs w:val="1"/>
          <w:color w:val="1155cc"/>
          <w:u w:val="single"/>
          <w:rtl w:val="0"/>
        </w:rPr>
        <w:t xml:space="preserve">Tradition-Innovations in Art, Design, and Media Higher Education</w:t>
      </w:r>
    </w:hyperlink>
    <w:r w:rsidDel="00000000" w:rsidR="00000000" w:rsidRPr="00000000">
      <w:rPr>
        <w:rFonts w:ascii="Montserrat Light" w:cs="Montserrat Light" w:eastAsia="Montserrat Light" w:hAnsi="Montserrat Light"/>
        <w:rtl w:val="0"/>
      </w:rPr>
      <w:t xml:space="preserve">, Volume 2. 2026</w:t>
      <w:br w:type="textWrapping"/>
      <w:t xml:space="preserve">Themed Issue on </w:t>
    </w:r>
    <w:r w:rsidDel="00000000" w:rsidR="00000000" w:rsidRPr="00000000">
      <w:rPr>
        <w:rFonts w:ascii="Montserrat Light" w:cs="Montserrat Light" w:eastAsia="Montserrat Light" w:hAnsi="Montserrat Light"/>
        <w:i w:val="1"/>
        <w:iCs w:val="1"/>
        <w:rtl w:val="0"/>
      </w:rPr>
      <w:t xml:space="preserve">Ruptures and Rebirths: The Future of Creativity, Agency, and Education.</w:t>
    </w:r>
    <w:r w:rsidDel="00000000" w:rsidR="00000000" w:rsidRPr="00000000">
      <w:rPr>
        <w:rtl w:val="0"/>
      </w:rPr>
    </w:r>
  </w:p>
  <w:p w:rsidR="00000000" w:rsidDel="00000000" w:rsidP="00000000" w:rsidRDefault="00000000" w:rsidRPr="00000000" w14:paraId="0000003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ontserrat" w:cs="Montserrat" w:eastAsia="Montserrat" w:hAnsi="Montserrat"/>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00" w:lineRule="auto"/>
    </w:pPr>
    <w:rPr>
      <w:rFonts w:ascii="Montserrat Medium" w:cs="Montserrat Medium" w:eastAsia="Montserrat Medium" w:hAnsi="Montserrat Medium"/>
      <w:sz w:val="52"/>
      <w:szCs w:val="52"/>
    </w:rPr>
  </w:style>
  <w:style w:type="paragraph" w:styleId="Heading2">
    <w:name w:val="heading 2"/>
    <w:basedOn w:val="Normal"/>
    <w:next w:val="Normal"/>
    <w:pPr>
      <w:keepNext w:val="1"/>
      <w:keepLines w:val="1"/>
      <w:spacing w:after="120" w:before="360" w:lineRule="auto"/>
    </w:pPr>
    <w:rPr>
      <w:sz w:val="30"/>
      <w:szCs w:val="30"/>
    </w:rPr>
  </w:style>
  <w:style w:type="paragraph" w:styleId="Heading3">
    <w:name w:val="heading 3"/>
    <w:basedOn w:val="Normal"/>
    <w:next w:val="Normal"/>
    <w:pPr>
      <w:keepNext w:val="1"/>
      <w:keepLines w:val="1"/>
      <w:spacing w:before="280" w:lineRule="auto"/>
    </w:pPr>
    <w:rPr>
      <w:color w:val="434343"/>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200" w:lineRule="auto"/>
    </w:pPr>
    <w:rPr>
      <w:rFonts w:ascii="Montserrat Medium" w:cs="Montserrat Medium" w:eastAsia="Montserrat Medium" w:hAnsi="Montserrat Medium"/>
      <w:sz w:val="52"/>
      <w:szCs w:val="52"/>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hyperlink" Target="https://openai.com/dall-e-2/" TargetMode="External"/><Relationship Id="rId22" Type="http://schemas.openxmlformats.org/officeDocument/2006/relationships/hyperlink" Target="https://stability.ai/" TargetMode="External"/><Relationship Id="rId21" Type="http://schemas.openxmlformats.org/officeDocument/2006/relationships/hyperlink" Target="https://stability.ai/" TargetMode="External"/><Relationship Id="rId24" Type="http://schemas.openxmlformats.org/officeDocument/2006/relationships/header" Target="header1.xml"/><Relationship Id="rId23" Type="http://schemas.openxmlformats.org/officeDocument/2006/relationships/hyperlink" Target="https://www.theatlantic.com/technology/archive/2023/11/openai-ilya-sutskever-sam-altman-fired/67607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roceedings.mlr.press/v81/buolamwini18a.html" TargetMode="External"/><Relationship Id="rId26" Type="http://schemas.openxmlformats.org/officeDocument/2006/relationships/footer" Target="footer2.xml"/><Relationship Id="rId25" Type="http://schemas.openxmlformats.org/officeDocument/2006/relationships/header" Target="header2.xm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apastyle.apa.org/style-grammar-guidelines/references" TargetMode="External"/><Relationship Id="rId8" Type="http://schemas.openxmlformats.org/officeDocument/2006/relationships/hyperlink" Target="https://apastyle.apa.org/style-grammar-guidelines/references/examples" TargetMode="External"/><Relationship Id="rId11" Type="http://schemas.openxmlformats.org/officeDocument/2006/relationships/hyperlink" Target="https://doi.org/10.9741/2996-4873.1019" TargetMode="External"/><Relationship Id="rId10" Type="http://schemas.openxmlformats.org/officeDocument/2006/relationships/hyperlink" Target="https://doi.org/10.9741/2996-4873.1008" TargetMode="External"/><Relationship Id="rId13" Type="http://schemas.openxmlformats.org/officeDocument/2006/relationships/hyperlink" Target="https://www.whitehouse.gov/briefing-room/presidential-actions/2023/10/30/executive-" TargetMode="External"/><Relationship Id="rId12" Type="http://schemas.openxmlformats.org/officeDocument/2006/relationships/hyperlink" Target="https://www.whitehouse.gov/briefing-room/presidential-actions/2023/10/30/executive-" TargetMode="External"/><Relationship Id="rId15" Type="http://schemas.openxmlformats.org/officeDocument/2006/relationships/hyperlink" Target="https://www.whitehouse.gov/briefing-room/presidential-actions/2023/10/30/executive-" TargetMode="External"/><Relationship Id="rId14" Type="http://schemas.openxmlformats.org/officeDocument/2006/relationships/hyperlink" Target="https://www.whitehouse.gov/briefing-room/presidential-actions/2023/10/30/executive-" TargetMode="External"/><Relationship Id="rId17" Type="http://schemas.openxmlformats.org/officeDocument/2006/relationships/hyperlink" Target="https://www.midjourney.com/home/" TargetMode="External"/><Relationship Id="rId16" Type="http://schemas.openxmlformats.org/officeDocument/2006/relationships/hyperlink" Target="https://a2ru.org/event/ai-provacateurs/" TargetMode="External"/><Relationship Id="rId19" Type="http://schemas.openxmlformats.org/officeDocument/2006/relationships/hyperlink" Target="https://openai.com/dall-e-2/" TargetMode="External"/><Relationship Id="rId18" Type="http://schemas.openxmlformats.org/officeDocument/2006/relationships/hyperlink" Target="https://www.midjourney.com/hom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11" Type="http://schemas.openxmlformats.org/officeDocument/2006/relationships/font" Target="fonts/MontserratLight-italic.ttf"/><Relationship Id="rId10" Type="http://schemas.openxmlformats.org/officeDocument/2006/relationships/font" Target="fonts/MontserratLight-bold.ttf"/><Relationship Id="rId12" Type="http://schemas.openxmlformats.org/officeDocument/2006/relationships/font" Target="fonts/MontserratLight-boldItalic.ttf"/><Relationship Id="rId9" Type="http://schemas.openxmlformats.org/officeDocument/2006/relationships/font" Target="fonts/MontserratLight-regular.ttf"/><Relationship Id="rId5" Type="http://schemas.openxmlformats.org/officeDocument/2006/relationships/font" Target="fonts/MontserratMedium-regular.ttf"/><Relationship Id="rId6" Type="http://schemas.openxmlformats.org/officeDocument/2006/relationships/font" Target="fonts/MontserratMedium-bold.ttf"/><Relationship Id="rId7" Type="http://schemas.openxmlformats.org/officeDocument/2006/relationships/font" Target="fonts/MontserratMedium-italic.ttf"/><Relationship Id="rId8" Type="http://schemas.openxmlformats.org/officeDocument/2006/relationships/font" Target="fonts/MontserratMedium-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digitalscholarship.unlv.edu/tradition_innovations/" TargetMode="External"/><Relationship Id="rId2" Type="http://schemas.openxmlformats.org/officeDocument/2006/relationships/hyperlink" Target="https://creativecommons.org/licenses/by-nc-nd/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igitalscholarship.unlv.edu/tradition_innov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