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4" w:right="28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JUDUL BAHASA INGGRIS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 TNR 12 SPASI 1.0, BEFORE DAN AFTER 0PT, ITALIC, CENTER)</w:t>
      </w:r>
    </w:p>
    <w:p w:rsidR="00000000" w:rsidDel="00000000" w:rsidP="00000000" w:rsidRDefault="00000000" w:rsidRPr="00000000" w14:paraId="00000002">
      <w:pPr>
        <w:ind w:left="284" w:right="282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4" w:right="28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JUDUL BAHASA INDONESIA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 TNR 12 SPASI 1.0, BEFORE DAN AFTER 0 PT, REGULER, CENTER)</w:t>
      </w:r>
    </w:p>
    <w:p w:rsidR="00000000" w:rsidDel="00000000" w:rsidP="00000000" w:rsidRDefault="00000000" w:rsidRPr="00000000" w14:paraId="00000004">
      <w:pPr>
        <w:ind w:left="284" w:right="28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ind w:left="284" w:right="282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4" w:right="282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Penulis 1</w:t>
      </w:r>
      <w:r w:rsidDel="00000000" w:rsidR="00000000" w:rsidRPr="00000000">
        <w:rPr>
          <w:b w:val="1"/>
          <w:sz w:val="21"/>
          <w:szCs w:val="21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1"/>
          <w:szCs w:val="21"/>
          <w:rtl w:val="0"/>
        </w:rPr>
        <w:t xml:space="preserve">, Penulis 2, Penulis 3, dst</w:t>
      </w:r>
    </w:p>
    <w:p w:rsidR="00000000" w:rsidDel="00000000" w:rsidP="00000000" w:rsidRDefault="00000000" w:rsidRPr="00000000" w14:paraId="00000007">
      <w:pPr>
        <w:ind w:left="284" w:right="282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(Huruf Capitalize Each Word TNR 10,5 spasi 1.0, before dan after 0pt, Bold, Center)</w:t>
      </w:r>
    </w:p>
    <w:p w:rsidR="00000000" w:rsidDel="00000000" w:rsidP="00000000" w:rsidRDefault="00000000" w:rsidRPr="00000000" w14:paraId="00000008">
      <w:pPr>
        <w:ind w:left="284" w:right="282" w:firstLine="0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Nama Prodi, Fakultas Teknologi Pertanian, Universitas Udayana, Kampus Bukit Jimbaran, Badung, Indonesia</w:t>
      </w:r>
    </w:p>
    <w:p w:rsidR="00000000" w:rsidDel="00000000" w:rsidP="00000000" w:rsidRDefault="00000000" w:rsidRPr="00000000" w14:paraId="00000009">
      <w:pPr>
        <w:ind w:left="284" w:right="282" w:firstLine="0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(Huruf Capitalize Each Word TNR 10,5 spasi 1,0 before dan after 0pt, Reguler, Center)</w:t>
      </w:r>
    </w:p>
    <w:p w:rsidR="00000000" w:rsidDel="00000000" w:rsidP="00000000" w:rsidRDefault="00000000" w:rsidRPr="00000000" w14:paraId="0000000A">
      <w:pPr>
        <w:ind w:left="284" w:right="282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4" w:right="282" w:firstLine="0"/>
        <w:jc w:val="center"/>
        <w:rPr/>
      </w:pPr>
      <w:r w:rsidDel="00000000" w:rsidR="00000000" w:rsidRPr="00000000">
        <w:rPr>
          <w:rtl w:val="0"/>
        </w:rPr>
        <w:t xml:space="preserve">Diterima tgl bl th / Disetujui tgl bl th</w:t>
      </w:r>
    </w:p>
    <w:p w:rsidR="00000000" w:rsidDel="00000000" w:rsidP="00000000" w:rsidRDefault="00000000" w:rsidRPr="00000000" w14:paraId="0000000C">
      <w:pPr>
        <w:ind w:left="284" w:right="28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1"/>
          <w:szCs w:val="21"/>
          <w:rtl w:val="0"/>
        </w:rPr>
        <w:t xml:space="preserve">Huruf Capitalize Each Word TNR 11 spasi 1,0 before dan after 0pt, Reguler, Center (Diisi oleh operator jurnal)</w:t>
      </w:r>
    </w:p>
    <w:p w:rsidR="00000000" w:rsidDel="00000000" w:rsidP="00000000" w:rsidRDefault="00000000" w:rsidRPr="00000000" w14:paraId="0000000D">
      <w:pPr>
        <w:ind w:left="284" w:right="28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4" w:right="28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4" w:right="282" w:firstLine="0"/>
        <w:jc w:val="center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ABSTRACT</w:t>
      </w:r>
      <w:r w:rsidDel="00000000" w:rsidR="00000000" w:rsidRPr="00000000">
        <w:rPr>
          <w:i w:val="1"/>
          <w:rtl w:val="0"/>
        </w:rPr>
        <w:t xml:space="preserve"> (HURUF CAPITAL TNR 11 SPASI 1,0 BEFORE DAN AFTER 0 PT ITALIC, CENTER)</w:t>
      </w:r>
    </w:p>
    <w:p w:rsidR="00000000" w:rsidDel="00000000" w:rsidP="00000000" w:rsidRDefault="00000000" w:rsidRPr="00000000" w14:paraId="00000010">
      <w:pPr>
        <w:ind w:left="284" w:right="282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84" w:right="282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Abstrak Bahasa Inggris </w:t>
      </w:r>
      <w:r w:rsidDel="00000000" w:rsidR="00000000" w:rsidRPr="00000000">
        <w:rPr>
          <w:i w:val="1"/>
          <w:sz w:val="24"/>
          <w:szCs w:val="24"/>
          <w:rtl w:val="0"/>
        </w:rPr>
        <w:t xml:space="preserve">(Huruf Sentence case TNR 11 spasi 1.0 before dan after 0pt, left dan right 0.5 Italic, Justify) </w:t>
      </w: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84" w:right="282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Keywords : </w:t>
      </w:r>
      <w:r w:rsidDel="00000000" w:rsidR="00000000" w:rsidRPr="00000000">
        <w:rPr>
          <w:i w:val="1"/>
          <w:sz w:val="24"/>
          <w:szCs w:val="24"/>
          <w:rtl w:val="0"/>
        </w:rPr>
        <w:t xml:space="preserve">(Sentence case TNR 11 spasi 1,0 before dan after 0pt, left dan right 0.5, Italic, Justify)</w:t>
      </w:r>
    </w:p>
    <w:p w:rsidR="00000000" w:rsidDel="00000000" w:rsidP="00000000" w:rsidRDefault="00000000" w:rsidRPr="00000000" w14:paraId="00000013">
      <w:pPr>
        <w:ind w:left="284" w:right="28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84" w:right="28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4" w:right="282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ABSTRAK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(HURUF CAPITAL TNR 11 SPASI 1,0 BEFORE DAN AFTER 0 PT, REGULER, CENTER)</w:t>
      </w:r>
    </w:p>
    <w:p w:rsidR="00000000" w:rsidDel="00000000" w:rsidP="00000000" w:rsidRDefault="00000000" w:rsidRPr="00000000" w14:paraId="00000016">
      <w:pPr>
        <w:ind w:left="284" w:right="28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4" w:right="282" w:firstLine="0"/>
        <w:jc w:val="both"/>
        <w:rPr/>
      </w:pPr>
      <w:r w:rsidDel="00000000" w:rsidR="00000000" w:rsidRPr="00000000">
        <w:rPr>
          <w:rtl w:val="0"/>
        </w:rPr>
        <w:t xml:space="preserve">Abstrak Bahasa Indonesia </w:t>
      </w:r>
      <w:r w:rsidDel="00000000" w:rsidR="00000000" w:rsidRPr="00000000">
        <w:rPr>
          <w:sz w:val="24"/>
          <w:szCs w:val="24"/>
          <w:rtl w:val="0"/>
        </w:rPr>
        <w:t xml:space="preserve">(Huruf Sentence case TNR 11 spasi 1,0 before dan after 0pt, left dan right 0.5, Reguler, Justify)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84" w:right="282" w:firstLine="0"/>
        <w:jc w:val="both"/>
        <w:rPr/>
      </w:pPr>
      <w:r w:rsidDel="00000000" w:rsidR="00000000" w:rsidRPr="00000000">
        <w:rPr>
          <w:b w:val="1"/>
          <w:rtl w:val="0"/>
        </w:rPr>
        <w:t xml:space="preserve">Kata kunci : </w:t>
      </w:r>
      <w:r w:rsidDel="00000000" w:rsidR="00000000" w:rsidRPr="00000000">
        <w:rPr>
          <w:sz w:val="24"/>
          <w:szCs w:val="24"/>
          <w:rtl w:val="0"/>
        </w:rPr>
        <w:t xml:space="preserve">(Huruf Sentence case TNR 11 spasi 1,0 before dan after 0pt, left dan right 0.5, Reguler, Justify)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84" w:right="2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4" w:right="2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4" w:right="2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4" w:right="2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rPr/>
      </w:pPr>
      <w:r w:rsidDel="00000000" w:rsidR="00000000" w:rsidRPr="00000000">
        <w:rPr>
          <w:rtl w:val="0"/>
        </w:rPr>
        <w:t xml:space="preserve">PENDAHULUAN</w:t>
      </w:r>
    </w:p>
    <w:p w:rsidR="00000000" w:rsidDel="00000000" w:rsidP="00000000" w:rsidRDefault="00000000" w:rsidRPr="00000000" w14:paraId="0000001E">
      <w:pPr>
        <w:spacing w:before="12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(HURUF CAPITAL TNR 12 SPASI 1,0 BEFORE DAN AFTER 0 PT, REGULER, CENTER)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Isi pendahuluan ditulis dengan (Huruf Sentence case TNR 12 spasi 1,0 before dan after 0pt, Reguler, Justify)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1">
      <w:pPr>
        <w:widowControl w:val="1"/>
        <w:ind w:firstLine="2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/>
      </w:pPr>
      <w:r w:rsidDel="00000000" w:rsidR="00000000" w:rsidRPr="00000000">
        <w:rPr>
          <w:rtl w:val="0"/>
        </w:rPr>
        <w:t xml:space="preserve">METODE PENELITIAN </w:t>
      </w:r>
    </w:p>
    <w:p w:rsidR="00000000" w:rsidDel="00000000" w:rsidP="00000000" w:rsidRDefault="00000000" w:rsidRPr="00000000" w14:paraId="00000023">
      <w:pPr>
        <w:spacing w:before="12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(HURUF CAPITAL TNR 12 SPASI 1,0 BEFORE DAN AFTER 0 PT, REGULER, CENTER)</w:t>
      </w:r>
    </w:p>
    <w:p w:rsidR="00000000" w:rsidDel="00000000" w:rsidP="00000000" w:rsidRDefault="00000000" w:rsidRPr="00000000" w14:paraId="00000024">
      <w:pPr>
        <w:ind w:firstLine="28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Bahan dan Alat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Capitalize Each Word TNR 12 spasi 1,0 before dan after 0pt, Bold, Justify) </w:t>
      </w:r>
    </w:p>
    <w:p w:rsidR="00000000" w:rsidDel="00000000" w:rsidP="00000000" w:rsidRDefault="00000000" w:rsidRPr="00000000" w14:paraId="00000026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Bahan-bahan yang digunakan dalam melaksanakan penelitian ini (Huruf Sentence case TNR 12 spasi 1,0 before dan after 0pt, Reguler, Justify)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Rancangan Penelitian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Capitalize Each Word TNR 12 spasi 1,0 before dan after 0pt, Bold, Justify) </w:t>
      </w:r>
    </w:p>
    <w:p w:rsidR="00000000" w:rsidDel="00000000" w:rsidP="00000000" w:rsidRDefault="00000000" w:rsidRPr="00000000" w14:paraId="00000028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Rancangan penelitian yang digunakan tergantung dalam melaksanakan penelitian ini (Huruf Sentence case TNR 12 spasi 1,0 before dan after 0pt, Reguler, Justify)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Pelaksanaan Penelitian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Capitalize Each Word TNR 12 spasi 1,0 before dan after 0pt, Bold, Justify) </w:t>
      </w:r>
    </w:p>
    <w:p w:rsidR="00000000" w:rsidDel="00000000" w:rsidP="00000000" w:rsidRDefault="00000000" w:rsidRPr="00000000" w14:paraId="0000002B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Pelaksanaan penelitian meliputi persiapan bahan, dsb (Huruf Sentence case TNR 12 spasi 1,0 before dan after 0pt, Reguler, Justify)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Variabel yang Diamati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Capitalize Each Word TNR 12 spasi 1,0 before dan after 0pt, Bold, Justify)  </w:t>
      </w:r>
    </w:p>
    <w:p w:rsidR="00000000" w:rsidDel="00000000" w:rsidP="00000000" w:rsidRDefault="00000000" w:rsidRPr="00000000" w14:paraId="0000002E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Variabel yang diamati pada penelitian ini (Huruf Sentence case TNR 12 spasi 1,0 before dan after 0pt, Reguler, Justify)--------------------------------------------------------------------------------------------------------------------------------------------------------------------------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259" w:lineRule="auto"/>
        <w:ind w:firstLine="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/>
      </w:pPr>
      <w:r w:rsidDel="00000000" w:rsidR="00000000" w:rsidRPr="00000000">
        <w:rPr>
          <w:rtl w:val="0"/>
        </w:rPr>
        <w:t xml:space="preserve">HASIL DAN PEMBAHASAN </w:t>
      </w:r>
    </w:p>
    <w:p w:rsidR="00000000" w:rsidDel="00000000" w:rsidP="00000000" w:rsidRDefault="00000000" w:rsidRPr="00000000" w14:paraId="00000031">
      <w:pPr>
        <w:spacing w:before="12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(HURUF CAPITAL TNR 12 SPASI 1,0 BEFORE DAN AFTER 0 PT, REGULER, CENTER)</w:t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Variabel 1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Capitalize Each Word TNR 12 spasi 1,0 before dan after 0pt, Bold, Justify)</w:t>
      </w:r>
    </w:p>
    <w:p w:rsidR="00000000" w:rsidDel="00000000" w:rsidP="00000000" w:rsidRDefault="00000000" w:rsidRPr="00000000" w14:paraId="00000034">
      <w:pPr>
        <w:ind w:firstLine="284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Isi dari variabel ditulis dengan (Huruf Sentence case TNR 12 spasi 1,0 before dan after 0pt, Reguler, Justify)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284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284"/>
        <w:jc w:val="both"/>
        <w:rPr>
          <w:sz w:val="24"/>
          <w:szCs w:val="24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701" w:top="2268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84" w:right="2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84" w:right="282" w:firstLine="0"/>
        <w:jc w:val="center"/>
        <w:rPr/>
      </w:pPr>
      <w:r w:rsidDel="00000000" w:rsidR="00000000" w:rsidRPr="00000000">
        <w:rPr>
          <w:sz w:val="26"/>
          <w:szCs w:val="26"/>
        </w:rPr>
        <w:drawing>
          <wp:inline distB="0" distT="0" distL="0" distR="0">
            <wp:extent cx="3476415" cy="203307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415" cy="20330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84" w:right="28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ukuran gambar disesuaikan agar proforsional (spasi 1,0 before dan after 0pt)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1700" w:hanging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Keterangan: </w:t>
        <w:tab/>
        <w:t xml:space="preserve">Kalau ada keterangan gambar/grafik ditulis dengan (Huruf Sentence case TNR 10 spasi 1,0 before dan after 0pt, Reguler, Center)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0" w:right="1808" w:hanging="993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Gambar 1. Penjelasan gambar ditulis dengan (Huruf Sentence case TNR 12 spasi 1,0 before dan after 0pt, Reguler, Justify)</w:t>
      </w:r>
    </w:p>
    <w:p w:rsidR="00000000" w:rsidDel="00000000" w:rsidP="00000000" w:rsidRDefault="00000000" w:rsidRPr="00000000" w14:paraId="0000003C">
      <w:pPr>
        <w:widowControl w:val="1"/>
        <w:spacing w:after="160" w:line="259" w:lineRule="auto"/>
        <w:rPr/>
        <w:sectPr>
          <w:type w:val="continuous"/>
          <w:pgSz w:h="16838" w:w="11906" w:orient="portrait"/>
          <w:pgMar w:bottom="1701" w:top="2268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Variabel 2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Capitalize Each Word TNR 12 spasi 1,0 before dan after 0pt, Bold, Justify)</w:t>
      </w:r>
    </w:p>
    <w:p w:rsidR="00000000" w:rsidDel="00000000" w:rsidP="00000000" w:rsidRDefault="00000000" w:rsidRPr="00000000" w14:paraId="0000003E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Isi dari variabel ditulis dengan (Huruf Sentence case TNR 12 spasi 1,0 before dan after 0pt, Reguler, Justify)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F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253689" cy="156570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5047" l="1041" r="5751" t="1797"/>
                    <a:stretch>
                      <a:fillRect/>
                    </a:stretch>
                  </pic:blipFill>
                  <pic:spPr>
                    <a:xfrm>
                      <a:off x="0" y="0"/>
                      <a:ext cx="2253689" cy="1565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20" w:right="2528" w:hanging="12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Gambar 2:</w:t>
        <w:tab/>
        <w:t xml:space="preserve">Penjelasan gambar ditulis dengan (Huruf Sentence case TNR 12 spasi 1,0 before dan after 0pt, Reguler, Justify)</w:t>
      </w:r>
    </w:p>
    <w:p w:rsidR="00000000" w:rsidDel="00000000" w:rsidP="00000000" w:rsidRDefault="00000000" w:rsidRPr="00000000" w14:paraId="00000043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700" w:right="2348" w:hanging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 1.  </w:t>
      </w:r>
      <w:r w:rsidDel="00000000" w:rsidR="00000000" w:rsidRPr="00000000">
        <w:rPr>
          <w:rtl w:val="0"/>
        </w:rPr>
        <w:t xml:space="preserve">Penjelasan tabel ditulis dengan </w:t>
      </w:r>
      <w:r w:rsidDel="00000000" w:rsidR="00000000" w:rsidRPr="00000000">
        <w:rPr>
          <w:sz w:val="24"/>
          <w:szCs w:val="24"/>
          <w:rtl w:val="0"/>
        </w:rPr>
        <w:t xml:space="preserve">(Huruf Sentence case TNR 12 spasi 1,0 before dan after 0pt, Reguler, Justify)</w:t>
      </w:r>
    </w:p>
    <w:tbl>
      <w:tblPr>
        <w:tblStyle w:val="Table1"/>
        <w:tblW w:w="4327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63"/>
        <w:gridCol w:w="2164"/>
        <w:tblGridChange w:id="0">
          <w:tblGrid>
            <w:gridCol w:w="2163"/>
            <w:gridCol w:w="2164"/>
          </w:tblGrid>
        </w:tblGridChange>
      </w:tblGrid>
      <w:tr>
        <w:trPr>
          <w:cantSplit w:val="0"/>
          <w:trHeight w:val="386" w:hRule="atLeast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Suhu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Rendemen (%)</w:t>
            </w:r>
          </w:p>
        </w:tc>
      </w:tr>
      <w:tr>
        <w:trPr>
          <w:cantSplit w:val="0"/>
          <w:trHeight w:val="330" w:hRule="atLeast"/>
          <w:tblHeader w:val="1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right="53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1,82 ± 0,1 a</w:t>
            </w:r>
            <w:r w:rsidDel="00000000" w:rsidR="00000000" w:rsidRPr="00000000">
              <w:rPr>
                <w:vertAlign w:val="superscript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right="67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1,92 ± 0,1 a</w:t>
            </w:r>
          </w:p>
        </w:tc>
      </w:tr>
      <w:tr>
        <w:trPr>
          <w:cantSplit w:val="0"/>
          <w:trHeight w:val="35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right="67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1,49 ± 0,1 a</w:t>
            </w:r>
          </w:p>
        </w:tc>
      </w:tr>
      <w:tr>
        <w:trPr>
          <w:cantSplit w:val="0"/>
          <w:trHeight w:val="35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right="67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right="67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2,41 ± 0,1 a</w:t>
            </w:r>
          </w:p>
        </w:tc>
      </w:tr>
    </w:tbl>
    <w:p w:rsidR="00000000" w:rsidDel="00000000" w:rsidP="00000000" w:rsidRDefault="00000000" w:rsidRPr="00000000" w14:paraId="00000052">
      <w:pPr>
        <w:ind w:left="1800" w:right="234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Keterangan : gambar/grafik/tabel ditulis dengan (Huruf Sentence case TNR 10 spasi 1,0 before dan after 0pt, Reguler, Justify)</w:t>
      </w:r>
    </w:p>
    <w:p w:rsidR="00000000" w:rsidDel="00000000" w:rsidP="00000000" w:rsidRDefault="00000000" w:rsidRPr="00000000" w14:paraId="0000005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000000" w:rsidDel="00000000" w:rsidP="00000000" w:rsidRDefault="00000000" w:rsidRPr="00000000" w14:paraId="0000005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Variabel 3</w:t>
      </w:r>
      <w:r w:rsidDel="00000000" w:rsidR="00000000" w:rsidRPr="00000000">
        <w:rPr>
          <w:b w:val="1"/>
          <w:sz w:val="24"/>
          <w:szCs w:val="24"/>
          <w:rtl w:val="0"/>
        </w:rPr>
        <w:t xml:space="preserve">, dst (Huruf Capitalize Each Word TNR 12 spasi 1,0 before dan after 0pt, Bold, Justify)</w:t>
      </w:r>
    </w:p>
    <w:p w:rsidR="00000000" w:rsidDel="00000000" w:rsidP="00000000" w:rsidRDefault="00000000" w:rsidRPr="00000000" w14:paraId="00000057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Isi dari variabel ditulis dengan (Huruf Sentence case TNR 12 spasi 1,0 before dan after 0pt, Reguler, Justify)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8">
      <w:pPr>
        <w:ind w:firstLine="284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rPr/>
      </w:pPr>
      <w:r w:rsidDel="00000000" w:rsidR="00000000" w:rsidRPr="00000000">
        <w:rPr>
          <w:rtl w:val="0"/>
        </w:rPr>
        <w:t xml:space="preserve">KESIMPULAN </w:t>
      </w:r>
    </w:p>
    <w:p w:rsidR="00000000" w:rsidDel="00000000" w:rsidP="00000000" w:rsidRDefault="00000000" w:rsidRPr="00000000" w14:paraId="0000005A">
      <w:pPr>
        <w:spacing w:before="12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(HURUF CAPITAL TNR 12 SPASI 1,0 BEFORE DAN AFTER 0 PT, REGULER, CENTER)</w:t>
      </w:r>
    </w:p>
    <w:p w:rsidR="00000000" w:rsidDel="00000000" w:rsidP="00000000" w:rsidRDefault="00000000" w:rsidRPr="00000000" w14:paraId="0000005B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Kesimpulan </w:t>
      </w:r>
      <w:r w:rsidDel="00000000" w:rsidR="00000000" w:rsidRPr="00000000">
        <w:rPr>
          <w:b w:val="1"/>
          <w:sz w:val="24"/>
          <w:szCs w:val="24"/>
          <w:rtl w:val="0"/>
        </w:rPr>
        <w:t xml:space="preserve">(Huruf Capitalize Each Word TNR 12 spasi 1,0 before dan after 0pt, Bold, Justify)</w:t>
      </w:r>
    </w:p>
    <w:p w:rsidR="00000000" w:rsidDel="00000000" w:rsidP="00000000" w:rsidRDefault="00000000" w:rsidRPr="00000000" w14:paraId="0000005D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Berdasarkan penelitian yang telah dilakukan maka dapat disimpulkan beberapa hal sebagai berikut: (Huruf Sentence case TNR 12 spasi 1,0 before dan after 0pt, Reguler, Justify)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Saran</w:t>
      </w:r>
      <w:r w:rsidDel="00000000" w:rsidR="00000000" w:rsidRPr="00000000">
        <w:rPr>
          <w:b w:val="1"/>
          <w:sz w:val="24"/>
          <w:szCs w:val="24"/>
          <w:rtl w:val="0"/>
        </w:rPr>
        <w:t xml:space="preserve"> (Huruf Capitalize Each Word TNR 12 spasi 1,0 before dan after 0pt, Bold, Justify)</w:t>
      </w:r>
    </w:p>
    <w:p w:rsidR="00000000" w:rsidDel="00000000" w:rsidP="00000000" w:rsidRDefault="00000000" w:rsidRPr="00000000" w14:paraId="00000060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Berdasarkan hasil penelitian ini dapat disarankan beberapa hal sebagai berikut : (Huruf Sentence case TNR 12 spasi 1,0 before dan after 0pt, Reguler, Justify)------------------------------------------------------------------------------------------------------------------------------------------------------------------------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2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rPr/>
      </w:pPr>
      <w:r w:rsidDel="00000000" w:rsidR="00000000" w:rsidRPr="00000000">
        <w:rPr>
          <w:rtl w:val="0"/>
        </w:rPr>
        <w:t xml:space="preserve">DAFTAR PUSTAKA</w:t>
      </w:r>
    </w:p>
    <w:p w:rsidR="00000000" w:rsidDel="00000000" w:rsidP="00000000" w:rsidRDefault="00000000" w:rsidRPr="00000000" w14:paraId="0000006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(HURUF CAPITAL TNR 12 SPASI 1,0 BEFORE DAN AFTER 0 PT, REGULER, CENTER)</w:t>
      </w:r>
    </w:p>
    <w:p w:rsidR="00000000" w:rsidDel="00000000" w:rsidP="00000000" w:rsidRDefault="00000000" w:rsidRPr="00000000" w14:paraId="0000006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Daftar pustaka ditulis dengan (Huruf Huruf Capitalize Each Word TNR 12 spasi 1,0 before dan after 0pt, Reguler, Justify)</w:t>
      </w:r>
    </w:p>
    <w:p w:rsidR="00000000" w:rsidDel="00000000" w:rsidP="00000000" w:rsidRDefault="00000000" w:rsidRPr="00000000" w14:paraId="00000067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8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9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A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B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C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D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E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F">
      <w:pPr>
        <w:widowControl w:val="1"/>
        <w:spacing w:after="160" w:line="259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Rule="auto"/>
        <w:ind w:left="284" w:hanging="284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Contoh Penulisan Daftar Pustaka dan sitasi menurut APA Style 6 :</w:t>
      </w:r>
    </w:p>
    <w:p w:rsidR="00000000" w:rsidDel="00000000" w:rsidP="00000000" w:rsidRDefault="00000000" w:rsidRPr="00000000" w14:paraId="00000071">
      <w:pPr>
        <w:widowControl w:val="1"/>
        <w:ind w:left="270" w:hanging="2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Badan Pusat Statistik. 2021. Produksi tanaman buah-buahan. </w:t>
      </w:r>
      <w:hyperlink r:id="rId16">
        <w:r w:rsidDel="00000000" w:rsidR="00000000" w:rsidRPr="00000000">
          <w:rPr>
            <w:sz w:val="24"/>
            <w:szCs w:val="24"/>
            <w:rtl w:val="0"/>
          </w:rPr>
          <w:t xml:space="preserve">https://www.bps.go.id/indicator/55/62/1/produksi-tanaman-buah-buahan.html</w:t>
        </w:r>
      </w:hyperlink>
      <w:r w:rsidDel="00000000" w:rsidR="00000000" w:rsidRPr="00000000">
        <w:rPr>
          <w:sz w:val="24"/>
          <w:szCs w:val="24"/>
          <w:rtl w:val="0"/>
        </w:rPr>
        <w:t xml:space="preserve">. Diakses pada 27 Desember 2021.</w:t>
      </w:r>
    </w:p>
    <w:p w:rsidR="00000000" w:rsidDel="00000000" w:rsidP="00000000" w:rsidRDefault="00000000" w:rsidRPr="00000000" w14:paraId="00000072">
      <w:pPr>
        <w:widowControl w:val="1"/>
        <w:ind w:left="270" w:hanging="2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Cappuccino, J. G. 2011. Microbiology. Pearson Publishing, Paris. </w:t>
      </w:r>
    </w:p>
    <w:p w:rsidR="00000000" w:rsidDel="00000000" w:rsidP="00000000" w:rsidRDefault="00000000" w:rsidRPr="00000000" w14:paraId="00000073">
      <w:pPr>
        <w:widowControl w:val="1"/>
        <w:ind w:left="270" w:hanging="2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Dalimartha, S. dan Adrian, F. 2013. Fakta Ilmiah Buah dan Sayur. Penebar Swadaya Grup, Jakarta.</w:t>
      </w:r>
    </w:p>
    <w:p w:rsidR="00000000" w:rsidDel="00000000" w:rsidP="00000000" w:rsidRDefault="00000000" w:rsidRPr="00000000" w14:paraId="00000074">
      <w:pPr>
        <w:widowControl w:val="1"/>
        <w:ind w:left="270" w:hanging="2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Heryani, H. 2016. Keutamaan Gula Aren dan Strategi Pengembangan Produk. Lambung Mangkurat University Press, Banjarmasin.</w:t>
      </w:r>
    </w:p>
    <w:p w:rsidR="00000000" w:rsidDel="00000000" w:rsidP="00000000" w:rsidRDefault="00000000" w:rsidRPr="00000000" w14:paraId="00000075">
      <w:pPr>
        <w:widowControl w:val="1"/>
        <w:ind w:left="270" w:hanging="2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Kementerian Perindustrian. 2021. Kinerja Industri Pengolahan Kakao Kian Manis. </w:t>
      </w:r>
      <w:hyperlink r:id="rId17">
        <w:r w:rsidDel="00000000" w:rsidR="00000000" w:rsidRPr="00000000">
          <w:rPr>
            <w:sz w:val="24"/>
            <w:szCs w:val="24"/>
            <w:rtl w:val="0"/>
          </w:rPr>
          <w:t xml:space="preserve">https://kemenperin.go.id/artikel/22965/Kinerja-Industri-Pengolahan-Kakao-Kian-Manis. Diakses tanggal 31-1-2022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6">
      <w:pPr>
        <w:widowControl w:val="1"/>
        <w:ind w:left="270" w:hanging="2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Koh, P. C., Leong, C. M., and Noranizan, M. A. 2014. Microwave-assisted extraction of pectin from jackfruit rinds using different power levels. International Food Research Journal. 21(5): 2091-2097.</w:t>
      </w:r>
    </w:p>
    <w:p w:rsidR="00000000" w:rsidDel="00000000" w:rsidP="00000000" w:rsidRDefault="00000000" w:rsidRPr="00000000" w14:paraId="00000077">
      <w:pPr>
        <w:spacing w:after="120" w:before="12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ind w:firstLine="18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Contoh berikut menunjukkan format untuk berbagai elektronik dan cetak: </w:t>
      </w:r>
    </w:p>
    <w:p w:rsidR="00000000" w:rsidDel="00000000" w:rsidP="00000000" w:rsidRDefault="00000000" w:rsidRPr="00000000" w14:paraId="00000079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 chapter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6043"/>
        <w:tblGridChange w:id="0">
          <w:tblGrid>
            <w:gridCol w:w="2785"/>
            <w:gridCol w:w="60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text citation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Reference list entry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(Yura, 2020)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Yura, P. 2020. Good or bad: How people think of me is not important. In B. Rudy and H. Dion (Eds.), Mental health policy (pp. 368-389). University of Life Press.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(Ford-Martin, 2003)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Ford-Martin, P. 2003. Cognitive-behavioral therapy. In E. Thackery and M. Harris (Eds.), Gale encyclopedia of mental disorders (Vol.1, pp. 226-228). Gale.</w:t>
            </w:r>
          </w:p>
        </w:tc>
      </w:tr>
    </w:tbl>
    <w:p w:rsidR="00000000" w:rsidDel="00000000" w:rsidP="00000000" w:rsidRDefault="00000000" w:rsidRPr="00000000" w14:paraId="00000081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 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6043"/>
        <w:tblGridChange w:id="0">
          <w:tblGrid>
            <w:gridCol w:w="2785"/>
            <w:gridCol w:w="60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text citation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Reference list entry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(Dwee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et al.,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2012)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Dwee, D., Dion, H. B., and Brown, I. S. 2012. Information behaviour concept: A basic introduction. University of Life Press.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(Kubler-Ross, 1993a)</w:t>
              <w:br w:type="textWrapping"/>
              <w:t xml:space="preserve">(Kubler-Ross, 1993b)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Kubler-Ross, E. 1993a. AIDS: The ultimate challenge. Collier Books.</w:t>
              <w:br w:type="textWrapping"/>
              <w:t xml:space="preserve">Kubler-Ross, E. 1993b. Questions and answers on death and dying. Collier Books.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Dataset</w:t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6043"/>
        <w:tblGridChange w:id="0">
          <w:tblGrid>
            <w:gridCol w:w="2785"/>
            <w:gridCol w:w="60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text citation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Reference list entry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(Ryff et al., 2019)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Ryff, C., Almeida, D., Ayanian, J., Binkley, N., Carr, D. S., Coe, C., Davidson, R., Grzywacz, J., Karlamangla, A., Krueger, R., Lachman, M., Love, G., Mailick, M., Mroczek, D., Radler, B., Seeman, T., Sloan, R., Thomas, D., Weinstein, M., Williams, D. 2019. 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Midlife in the United States (MIDUS 3), 2013-2014 (ICPSR 36346)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 [Dataset]. https://doi.org/10.3886/ICPSR36346.v7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(Theure and Gentaz, 2018)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Theure, A., and Gentaz, E. 2018. Data from: 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The regulation of emotions in adolescents: age differences and emotion-specific patterns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 [Dataset]. https://doi.org/10.5061/dryad.n230404. Referenced in https://doi.org/10.1371/journal.pone.0195501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widowControl w:val="1"/>
              <w:ind w:firstLine="187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(Lemaignan 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et al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., 2018)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widowControl w:val="1"/>
              <w:jc w:val="both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Lemaignan, S., Edmunds, C.E.R., Senft, E., and Belpaeme, T. 2018. The PInSoRo dataset: Supporting the data-driven study of child-child and child-robot social dynamics. 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PLoS ONE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13(10), Article e0205999+. https://doi.org/10.1371/journal.pone.0205999</w:t>
            </w:r>
          </w:p>
        </w:tc>
      </w:tr>
    </w:tbl>
    <w:p w:rsidR="00000000" w:rsidDel="00000000" w:rsidP="00000000" w:rsidRDefault="00000000" w:rsidRPr="00000000" w14:paraId="00000096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E-books</w:t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6043"/>
        <w:tblGridChange w:id="0">
          <w:tblGrid>
            <w:gridCol w:w="2785"/>
            <w:gridCol w:w="60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text citation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Reference list entry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(Eckes, 2000)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Eckes, T. 2000. 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The developmental social psychology of gender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 Lawrence Erlbaum Associates. https://lib.ugm.ac.id/443/record=b1600608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(Jones and Gagnon, 2007)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Jones, N. A., and Gagnon, C. M. 2007. The neurophysiology of empathy. In T. F. D. Farrow and P. W. R. Woodruff (Eds.), 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Empathy in mental illness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 Cambridge University Press. https://lib.ugm.ac.id:443/record=b2130403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Journal articles</w:t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6043"/>
        <w:tblGridChange w:id="0">
          <w:tblGrid>
            <w:gridCol w:w="2785"/>
            <w:gridCol w:w="60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text citation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Reference list entry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(Ahmann, 2018)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Ahmann, E., Tuttle, L. J., Saviet, M., and Wright, S. D. 2018. A descriptive review of ADHD coaching research: Implications for college students. 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Journal of Postsecondary Education and Disability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31(1): 24-58. https://www.ahead.org/professional-resources/publications/jped/archived-jped/jped-volume-31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(March and Springer, 2019)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March, E. and Springer, J. 2019. Belief in conspiracy theories: The predictive role of schizotypy, Machiavellianism, and primary psychopathy. 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PLoS One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14(12): Article e0225964. https://doi.org/10.1371/journal.pone.0225964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widowControl w:val="1"/>
              <w:ind w:firstLine="187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(Zhang 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et al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., 2016)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widowControl w:val="1"/>
              <w:jc w:val="both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Zhang, B., Cohen, J., Ferrence, R., and Rehm, J. 2016. The impact of tobacco tax cuts on smoking initiation among Canadian young adults. 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American Journal of Preventive Medicine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30(6), 474-479.</w:t>
            </w:r>
          </w:p>
        </w:tc>
      </w:tr>
    </w:tbl>
    <w:p w:rsidR="00000000" w:rsidDel="00000000" w:rsidP="00000000" w:rsidRDefault="00000000" w:rsidRPr="00000000" w14:paraId="000000A8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Proceeding</w:t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6043"/>
        <w:tblGridChange w:id="0">
          <w:tblGrid>
            <w:gridCol w:w="2785"/>
            <w:gridCol w:w="60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text citation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Reference list entry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widowControl w:val="1"/>
              <w:ind w:firstLine="18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(Triani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et al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., 2022)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widowControl w:val="1"/>
              <w:spacing w:after="200" w:lineRule="auto"/>
              <w:ind w:left="70" w:hanging="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Triani, I. G. A. L., Soemarno, Rahardjo, B. T., and Zubaidah, E. 2022. Characteristics of vegetables following growth-promoting bacteria applications as an environmentally friendly cultivation innovation.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KnE Life Sciences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https://doi.org/10.18502/kls.v7i3.11129</w:t>
            </w:r>
          </w:p>
        </w:tc>
      </w:tr>
    </w:tbl>
    <w:p w:rsidR="00000000" w:rsidDel="00000000" w:rsidP="00000000" w:rsidRDefault="00000000" w:rsidRPr="00000000" w14:paraId="000000AE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Rule="auto"/>
        <w:ind w:left="284" w:hanging="28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701" w:top="2268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ew Yor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…</w:t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…</w:t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…</w:t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Korespondensi Penulis 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 xxxxx@unud.ac.id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rPr/>
    </w:pPr>
    <w:r w:rsidDel="00000000" w:rsidR="00000000" w:rsidRPr="00000000">
      <w:rPr>
        <w:rtl w:val="0"/>
      </w:rPr>
      <w:t xml:space="preserve">Vol. … No. …  Bulan terbit Tahun</w:t>
      <w:tab/>
      <w:tab/>
      <w:tab/>
      <w:tab/>
      <w:tab/>
      <w:tab/>
      <w:tab/>
      <w:t xml:space="preserve">Judul artikel …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Nama Penulis, dkk.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Nama Jurnal (Nama Jurnal dalam Bahasa Inggris)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Nama Jurnal  (TNR 11 spasi 1.0, before dan after 0pt,)</w:t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(Nama Jurnal dalam Bahasa Inggris)</w:t>
      <w:tab/>
      <w:t xml:space="preserve">ISSN : …-… (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print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)</w:t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Vol. … No. …  Halaman , Bulan terbit Tahun</w:t>
      <w:tab/>
      <w:t xml:space="preserve">ISSN : …-… (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ejournal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184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Custom Margins : </w:t>
      <w:tab/>
      <w:t xml:space="preserve">Top = 4; Bottom = 3</w:t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184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Left = 2; Right = 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d-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>
      <w:b w:val="0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jc w:val="both"/>
    </w:pPr>
    <w:rPr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jc w:val="both"/>
    </w:pPr>
    <w:rPr>
      <w:b w:val="1"/>
      <w:color w:val="000000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New York" w:cs="New York" w:eastAsia="New York" w:hAnsi="New Yor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New York" w:cs="New York" w:eastAsia="New York" w:hAnsi="New Yor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New York" w:cs="New York" w:eastAsia="New York" w:hAnsi="New Yor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New York" w:cs="New York" w:eastAsia="New York" w:hAnsi="New Yor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New York" w:cs="New York" w:eastAsia="New York" w:hAnsi="New Yor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New York" w:cs="New York" w:eastAsia="New York" w:hAnsi="New Yor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New York" w:cs="New York" w:eastAsia="New York" w:hAnsi="New Yor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5" Type="http://schemas.openxmlformats.org/officeDocument/2006/relationships/image" Target="media/image1.png"/><Relationship Id="rId14" Type="http://schemas.openxmlformats.org/officeDocument/2006/relationships/image" Target="media/image2.png"/><Relationship Id="rId17" Type="http://schemas.openxmlformats.org/officeDocument/2006/relationships/hyperlink" Target="https://kemenperin.go.id/artikel/22965/Kinerja-Industri-Pengolahan-Kakao-Kian-Manis.%20Diakses%20tanggal%2031-1-2022" TargetMode="External"/><Relationship Id="rId16" Type="http://schemas.openxmlformats.org/officeDocument/2006/relationships/hyperlink" Target="https://www.bps.go.id/indicator/55/62/1/produksi-tanaman-buah-buahan.htm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o2gIwIhwXXKKaUkQLf1DTSUiA==">CgMxLjA4AHIhMVlXcF9GdUFpbk40YUZVaXg5bXFQSTBQMy1mZTJZdXFl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