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69184" w14:textId="77777777" w:rsidR="000711EF" w:rsidRDefault="000711EF">
      <w:pPr>
        <w:tabs>
          <w:tab w:val="left" w:leader="underscore" w:pos="9639"/>
        </w:tabs>
        <w:spacing w:after="0" w:line="240" w:lineRule="auto"/>
        <w:ind w:left="9639" w:hanging="9639"/>
        <w:jc w:val="center"/>
        <w:rPr>
          <w:rFonts w:ascii="Times New Roman" w:hAnsi="Times New Roman"/>
          <w:sz w:val="24"/>
          <w:szCs w:val="24"/>
        </w:rPr>
      </w:pPr>
    </w:p>
    <w:p w14:paraId="1E8945CE" w14:textId="77777777" w:rsidR="000711EF" w:rsidRDefault="00827B84">
      <w:pPr>
        <w:tabs>
          <w:tab w:val="left" w:leader="underscore" w:pos="9639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  <w:hyperlink r:id="rId11" w:history="1">
        <w:r>
          <w:rPr>
            <w:rStyle w:val="Hipervnculo"/>
            <w:rFonts w:cs="Calibri"/>
            <w:b/>
            <w:sz w:val="28"/>
            <w:szCs w:val="28"/>
          </w:rPr>
          <w:t>NOTAS DE GESTIÓN ADMINISTRATIVA</w:t>
        </w:r>
      </w:hyperlink>
    </w:p>
    <w:p w14:paraId="1347A2F1" w14:textId="77777777" w:rsidR="000711EF" w:rsidRDefault="00827B84">
      <w:pPr>
        <w:tabs>
          <w:tab w:val="left" w:leader="underscore" w:pos="9639"/>
        </w:tabs>
        <w:spacing w:after="0" w:line="240" w:lineRule="auto"/>
        <w:jc w:val="center"/>
        <w:rPr>
          <w:rFonts w:cs="Calibri"/>
        </w:rPr>
      </w:pPr>
      <w:r>
        <w:rPr>
          <w:rFonts w:cs="Calibri"/>
        </w:rPr>
        <w:t>06-12-2022</w:t>
      </w:r>
    </w:p>
    <w:p w14:paraId="3E42A66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DF5C53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Los Estados Financieros de los entes públicos, prove</w:t>
      </w:r>
      <w:r>
        <w:rPr>
          <w:rFonts w:cs="Calibri"/>
        </w:rPr>
        <w:t>en de información financiera a los principales usuarios de la misma, al Congreso y a los ciudadanos.</w:t>
      </w:r>
    </w:p>
    <w:p w14:paraId="789C5B25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1619E2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El objetivo del presente documento es la revelación del contexto y de los aspectos económicos-financieros más relevantes que influyeron en las decisiones </w:t>
      </w:r>
      <w:r>
        <w:rPr>
          <w:rFonts w:cs="Calibri"/>
        </w:rPr>
        <w:t>del período, y que deberán ser considerados en la elaboración de los estados financieros para la mayor comprensión de los mismos y sus particularidades.</w:t>
      </w:r>
    </w:p>
    <w:p w14:paraId="38FD97A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3B0FA06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De esta manera, se informan y explican las condiciones relacionadas con la información financiera de c</w:t>
      </w:r>
      <w:r>
        <w:rPr>
          <w:rFonts w:cs="Calibri"/>
        </w:rPr>
        <w:t>ada período de gestión; además, de exponer aquellas políticas que podrían afectar la toma de decisiones en períodos posteriores. (</w:t>
      </w:r>
      <w:r>
        <w:rPr>
          <w:rFonts w:cs="Calibri"/>
          <w:color w:val="2F5496" w:themeColor="accent5" w:themeShade="BF"/>
        </w:rPr>
        <w:t>DOF 06-12-2022</w:t>
      </w:r>
      <w:r>
        <w:rPr>
          <w:rFonts w:cs="Calibri"/>
        </w:rPr>
        <w:t>)</w:t>
      </w:r>
    </w:p>
    <w:p w14:paraId="6774B622" w14:textId="77777777" w:rsidR="000711EF" w:rsidRDefault="000711EF">
      <w:pPr>
        <w:pStyle w:val="Prrafodelista"/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37C1D3B" w14:textId="77777777" w:rsidR="000711EF" w:rsidRDefault="00827B84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Las notas de gestión administrativa deben contener los siguientes puntos:</w:t>
      </w:r>
    </w:p>
    <w:p w14:paraId="4B7A22F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-191922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9C6953" w14:textId="77777777" w:rsidR="000711EF" w:rsidRDefault="00827B84">
          <w:pPr>
            <w:pStyle w:val="TtuloTDC1"/>
            <w:rPr>
              <w:lang w:val="es-ES"/>
            </w:rPr>
          </w:pPr>
          <w:r>
            <w:rPr>
              <w:lang w:val="es-ES"/>
            </w:rPr>
            <w:t>Contenido</w:t>
          </w:r>
        </w:p>
        <w:p w14:paraId="368157D7" w14:textId="77777777" w:rsidR="000711EF" w:rsidRDefault="000711EF">
          <w:pPr>
            <w:rPr>
              <w:lang w:val="es-ES" w:eastAsia="es-MX"/>
            </w:rPr>
          </w:pPr>
        </w:p>
        <w:p w14:paraId="1B139FE9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1100306" w:history="1">
            <w:r>
              <w:rPr>
                <w:rStyle w:val="Hipervnculo"/>
                <w:rFonts w:cstheme="minorHAnsi"/>
                <w:b/>
              </w:rPr>
              <w:t>1. Autorización e Historia:</w:t>
            </w:r>
            <w:r>
              <w:tab/>
            </w:r>
            <w:r>
              <w:fldChar w:fldCharType="begin"/>
            </w:r>
            <w:r>
              <w:instrText xml:space="preserve"> PAGEREF _Toc181100306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5AEA6816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07" w:history="1">
            <w:r>
              <w:rPr>
                <w:rStyle w:val="Hipervnculo"/>
                <w:rFonts w:cstheme="minorHAnsi"/>
                <w:b/>
              </w:rPr>
              <w:t>2. Panorama Económico y Financiero</w:t>
            </w:r>
            <w:r>
              <w:tab/>
            </w:r>
            <w:r>
              <w:fldChar w:fldCharType="begin"/>
            </w:r>
            <w:r>
              <w:instrText xml:space="preserve"> PAGEREF _Toc181100307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6DA807E7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08" w:history="1">
            <w:r>
              <w:rPr>
                <w:rStyle w:val="Hipervnculo"/>
                <w:rFonts w:cstheme="minorHAnsi"/>
                <w:b/>
              </w:rPr>
              <w:t>3. Organización y Objeto Social:</w:t>
            </w:r>
            <w:r>
              <w:tab/>
            </w:r>
            <w:r>
              <w:fldChar w:fldCharType="begin"/>
            </w:r>
            <w:r>
              <w:instrText xml:space="preserve"> PAGEREF _Toc181100308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6244290B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09" w:history="1">
            <w:r>
              <w:rPr>
                <w:rStyle w:val="Hipervnculo"/>
                <w:rFonts w:cstheme="minorHAnsi"/>
                <w:b/>
              </w:rPr>
              <w:t>4. Bases de Preparación de los Estados Financieros:</w:t>
            </w:r>
            <w:r>
              <w:tab/>
            </w:r>
            <w:r>
              <w:fldChar w:fldCharType="begin"/>
            </w:r>
            <w:r>
              <w:instrText xml:space="preserve"> PAGEREF _Toc181100309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6BE77C36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0" w:history="1">
            <w:r>
              <w:rPr>
                <w:rStyle w:val="Hipervnculo"/>
                <w:rFonts w:cstheme="minorHAnsi"/>
                <w:b/>
              </w:rPr>
              <w:t>5. Políticas de Contabilidad Significativas:</w:t>
            </w:r>
            <w:r>
              <w:tab/>
            </w:r>
            <w:r>
              <w:fldChar w:fldCharType="begin"/>
            </w:r>
            <w:r>
              <w:instrText xml:space="preserve"> PAGEREF _Toc181100310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2A950F11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1" w:history="1">
            <w:r>
              <w:rPr>
                <w:rStyle w:val="Hipervnculo"/>
                <w:rFonts w:cstheme="minorHAnsi"/>
                <w:b/>
              </w:rPr>
              <w:t>6. Posición en Moneda Extranjera y Protección por Riesgo Cambiario:</w:t>
            </w:r>
            <w:r>
              <w:tab/>
            </w:r>
            <w:r>
              <w:fldChar w:fldCharType="begin"/>
            </w:r>
            <w:r>
              <w:instrText xml:space="preserve"> PAGEREF _Toc181100311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336FC4EF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2" w:history="1">
            <w:r>
              <w:rPr>
                <w:rStyle w:val="Hipervnculo"/>
                <w:rFonts w:cstheme="minorHAnsi"/>
                <w:b/>
              </w:rPr>
              <w:t>7. Reporte Analítico del Activ</w:t>
            </w:r>
            <w:r>
              <w:rPr>
                <w:rStyle w:val="Hipervnculo"/>
                <w:rFonts w:cstheme="minorHAnsi"/>
                <w:b/>
              </w:rPr>
              <w:t>o:</w:t>
            </w:r>
            <w:r>
              <w:tab/>
            </w:r>
            <w:r>
              <w:fldChar w:fldCharType="begin"/>
            </w:r>
            <w:r>
              <w:instrText xml:space="preserve"> PAGEREF _Toc181100312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61E2E2C8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3" w:history="1">
            <w:r>
              <w:rPr>
                <w:rStyle w:val="Hipervnculo"/>
                <w:rFonts w:cstheme="minorHAnsi"/>
                <w:b/>
              </w:rPr>
              <w:t>8. Fideicomisos, Mandatos y Análogos:</w:t>
            </w:r>
            <w:r>
              <w:tab/>
            </w:r>
            <w:r>
              <w:fldChar w:fldCharType="begin"/>
            </w:r>
            <w:r>
              <w:instrText xml:space="preserve"> PAGEREF _Toc181100313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58230A51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4" w:history="1">
            <w:r>
              <w:rPr>
                <w:rStyle w:val="Hipervnculo"/>
                <w:rFonts w:cstheme="minorHAnsi"/>
                <w:b/>
              </w:rPr>
              <w:t>9. Reporte de la Recaudación:</w:t>
            </w:r>
            <w:r>
              <w:tab/>
            </w:r>
            <w:r>
              <w:fldChar w:fldCharType="begin"/>
            </w:r>
            <w:r>
              <w:instrText xml:space="preserve"> PAGEREF _Toc181100314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534FA256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5" w:history="1">
            <w:r>
              <w:rPr>
                <w:rStyle w:val="Hipervnculo"/>
                <w:rFonts w:cstheme="minorHAnsi"/>
                <w:b/>
              </w:rPr>
              <w:t>10. Información sobre la Deuda y el Reporte Analítico de</w:t>
            </w:r>
            <w:r>
              <w:rPr>
                <w:rStyle w:val="Hipervnculo"/>
                <w:rFonts w:cstheme="minorHAnsi"/>
                <w:b/>
              </w:rPr>
              <w:t xml:space="preserve"> la Deuda:</w:t>
            </w:r>
            <w:r>
              <w:tab/>
            </w:r>
            <w:r>
              <w:fldChar w:fldCharType="begin"/>
            </w:r>
            <w:r>
              <w:instrText xml:space="preserve"> PAGEREF _Toc181100315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113A013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6" w:history="1">
            <w:r>
              <w:rPr>
                <w:rStyle w:val="Hipervnculo"/>
                <w:rFonts w:cstheme="minorHAnsi"/>
                <w:b/>
              </w:rPr>
              <w:t>11. Calificaciones otorgadas:</w:t>
            </w:r>
            <w:r>
              <w:tab/>
            </w:r>
            <w:r>
              <w:fldChar w:fldCharType="begin"/>
            </w:r>
            <w:r>
              <w:instrText xml:space="preserve"> PAGEREF _Toc181100316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58F0C2C8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7" w:history="1">
            <w:r>
              <w:rPr>
                <w:rStyle w:val="Hipervnculo"/>
                <w:rFonts w:cstheme="minorHAnsi"/>
                <w:b/>
              </w:rPr>
              <w:t>12. Proceso de Mejora:</w:t>
            </w:r>
            <w:r>
              <w:tab/>
            </w:r>
            <w:r>
              <w:fldChar w:fldCharType="begin"/>
            </w:r>
            <w:r>
              <w:instrText xml:space="preserve"> PAGEREF _Toc181100317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276D503E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18" w:history="1">
            <w:r>
              <w:rPr>
                <w:rStyle w:val="Hipervnculo"/>
                <w:rFonts w:cstheme="minorHAnsi"/>
                <w:b/>
              </w:rPr>
              <w:t>13. Información por Segmentos:</w:t>
            </w:r>
            <w:r>
              <w:tab/>
            </w:r>
            <w:r>
              <w:fldChar w:fldCharType="begin"/>
            </w:r>
            <w:r>
              <w:instrText xml:space="preserve"> PAGEREF _Toc181100318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27AC2F58" w14:textId="77777777" w:rsidR="000711EF" w:rsidRDefault="00827B84">
          <w:pPr>
            <w:pStyle w:val="TDC2"/>
            <w:tabs>
              <w:tab w:val="right" w:leader="dot" w:pos="9678"/>
            </w:tabs>
          </w:pPr>
          <w:hyperlink w:anchor="_Toc181100319" w:history="1">
            <w:r>
              <w:rPr>
                <w:rStyle w:val="Hipervnculo"/>
                <w:rFonts w:cstheme="minorHAnsi"/>
                <w:b/>
              </w:rPr>
              <w:t>14. Eventos Posteriores al Cierre:</w:t>
            </w:r>
            <w:r>
              <w:tab/>
            </w:r>
            <w:r>
              <w:fldChar w:fldCharType="begin"/>
            </w:r>
            <w:r>
              <w:instrText xml:space="preserve"> PAGEREF _Toc181100319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13A10E20" w14:textId="77777777" w:rsidR="000711EF" w:rsidRDefault="00827B84">
          <w:pPr>
            <w:ind w:firstLineChars="100" w:firstLine="221"/>
            <w:rPr>
              <w:lang w:eastAsia="es-MX"/>
            </w:rPr>
          </w:pPr>
          <w:r w:rsidRPr="00587F7B">
            <w:rPr>
              <w:rStyle w:val="Hipervnculo"/>
              <w:rFonts w:cstheme="minorHAnsi"/>
              <w:b/>
              <w:color w:val="auto"/>
              <w:u w:val="none"/>
            </w:rPr>
            <w:t>15. Partes relacionadas: ..</w:t>
          </w:r>
          <w:r w:rsidRPr="00587F7B">
            <w:t>.</w:t>
          </w:r>
          <w:r>
            <w:t>...........................................................................................................................11</w:t>
          </w:r>
        </w:p>
        <w:p w14:paraId="24A79C39" w14:textId="77777777" w:rsidR="000711EF" w:rsidRDefault="00827B84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kern w:val="2"/>
              <w:lang w:eastAsia="es-MX"/>
              <w14:ligatures w14:val="standardContextual"/>
            </w:rPr>
          </w:pPr>
          <w:hyperlink w:anchor="_Toc181100320" w:history="1">
            <w:r>
              <w:rPr>
                <w:rStyle w:val="Hipervnculo"/>
                <w:rFonts w:cstheme="minorHAnsi"/>
                <w:b/>
              </w:rPr>
              <w:t>16. Responsabilidad Sobre la Presentación Razonable de la Inform</w:t>
            </w:r>
            <w:r>
              <w:rPr>
                <w:rStyle w:val="Hipervnculo"/>
                <w:rFonts w:cstheme="minorHAnsi"/>
                <w:b/>
              </w:rPr>
              <w:t>ación Contable:</w:t>
            </w:r>
            <w:r>
              <w:tab/>
            </w:r>
            <w:r>
              <w:fldChar w:fldCharType="begin"/>
            </w:r>
            <w:r>
              <w:instrText xml:space="preserve"> PAGEREF _Toc181100320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4D20EBD5" w14:textId="77777777" w:rsidR="000711EF" w:rsidRDefault="00827B84">
          <w:r>
            <w:rPr>
              <w:b/>
              <w:bCs/>
              <w:lang w:val="es-ES"/>
            </w:rPr>
            <w:fldChar w:fldCharType="end"/>
          </w:r>
        </w:p>
      </w:sdtContent>
    </w:sdt>
    <w:p w14:paraId="03041BE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FAF385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0126AFC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0" w:name="_Toc181100306"/>
      <w:r>
        <w:rPr>
          <w:rFonts w:asciiTheme="minorHAnsi" w:hAnsiTheme="minorHAnsi" w:cstheme="minorHAnsi"/>
          <w:b/>
          <w:color w:val="auto"/>
          <w:sz w:val="22"/>
        </w:rPr>
        <w:t>1. Autorización e Historia:</w:t>
      </w:r>
      <w:bookmarkEnd w:id="0"/>
    </w:p>
    <w:p w14:paraId="2D9F0131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7FD7EC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sobre:</w:t>
      </w:r>
    </w:p>
    <w:p w14:paraId="62F496A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C44EED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Fecha de creación del ente público.</w:t>
      </w:r>
    </w:p>
    <w:p w14:paraId="5B8AB9D1" w14:textId="045C4419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proceso de creación del Instituto Municipal de Vivienda de Dolores Hidalgo, </w:t>
      </w:r>
      <w:proofErr w:type="spellStart"/>
      <w:r>
        <w:rPr>
          <w:rFonts w:ascii="Arial" w:hAnsi="Arial" w:cs="Arial"/>
          <w:sz w:val="20"/>
          <w:szCs w:val="20"/>
        </w:rPr>
        <w:t>Gto</w:t>
      </w:r>
      <w:proofErr w:type="spellEnd"/>
      <w:r>
        <w:rPr>
          <w:rFonts w:ascii="Arial" w:hAnsi="Arial" w:cs="Arial"/>
          <w:sz w:val="20"/>
          <w:szCs w:val="20"/>
        </w:rPr>
        <w:t>. se dio durante la Administración Pública 2003-2006 encabezada por el Lic. Felipe de Jesús García Olvera, en sesión Ordinaria del Honorable Ayuntamiento celebrada en fecha 2</w:t>
      </w:r>
      <w:r>
        <w:rPr>
          <w:rFonts w:ascii="Arial" w:hAnsi="Arial" w:cs="Arial"/>
          <w:sz w:val="20"/>
          <w:szCs w:val="20"/>
        </w:rPr>
        <w:t xml:space="preserve">5 de </w:t>
      </w:r>
      <w:r w:rsidR="00587F7B">
        <w:rPr>
          <w:rFonts w:ascii="Arial" w:hAnsi="Arial" w:cs="Arial"/>
          <w:sz w:val="20"/>
          <w:szCs w:val="20"/>
        </w:rPr>
        <w:t>octubre</w:t>
      </w:r>
      <w:r>
        <w:rPr>
          <w:rFonts w:ascii="Arial" w:hAnsi="Arial" w:cs="Arial"/>
          <w:sz w:val="20"/>
          <w:szCs w:val="20"/>
        </w:rPr>
        <w:t xml:space="preserve"> de 2004. </w:t>
      </w:r>
    </w:p>
    <w:p w14:paraId="7407645C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AA20AA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Principales cambios en su estructura (interna históricamente).</w:t>
      </w:r>
    </w:p>
    <w:p w14:paraId="158015AB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IMUVI desde su creación a la fecha opera con el </w:t>
      </w:r>
      <w:r>
        <w:rPr>
          <w:rFonts w:ascii="Arial" w:hAnsi="Arial" w:cs="Arial"/>
          <w:b/>
          <w:sz w:val="20"/>
          <w:szCs w:val="20"/>
        </w:rPr>
        <w:t>Consejo directivo</w:t>
      </w:r>
      <w:r>
        <w:rPr>
          <w:rFonts w:ascii="Arial" w:hAnsi="Arial" w:cs="Arial"/>
          <w:sz w:val="20"/>
          <w:szCs w:val="20"/>
        </w:rPr>
        <w:t xml:space="preserve"> (que es la máxima autoridad del Instituto), el 16 de agosto 2022 se realizó una modificación al R</w:t>
      </w:r>
      <w:r>
        <w:rPr>
          <w:rFonts w:ascii="Arial" w:hAnsi="Arial" w:cs="Arial"/>
          <w:sz w:val="20"/>
          <w:szCs w:val="20"/>
        </w:rPr>
        <w:t>eglamento Interior del Instituto, en el cual se realizaron modificaciones al Art 16, modificando la fracción II, IV y VII quedando de la siguiente manera los integrantes del Consejo Directivo:</w:t>
      </w:r>
    </w:p>
    <w:p w14:paraId="6DCC08E6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I.- </w:t>
      </w:r>
      <w:proofErr w:type="gramStart"/>
      <w:r>
        <w:rPr>
          <w:rFonts w:ascii="Arial" w:hAnsi="Arial" w:cs="Arial"/>
          <w:sz w:val="20"/>
          <w:szCs w:val="20"/>
        </w:rPr>
        <w:t>Presidente</w:t>
      </w:r>
      <w:proofErr w:type="gramEnd"/>
      <w:r>
        <w:rPr>
          <w:rFonts w:ascii="Arial" w:hAnsi="Arial" w:cs="Arial"/>
          <w:sz w:val="20"/>
          <w:szCs w:val="20"/>
        </w:rPr>
        <w:t>. - Será un miembro de la iniciativa privada o de</w:t>
      </w:r>
      <w:r>
        <w:rPr>
          <w:rFonts w:ascii="Arial" w:hAnsi="Arial" w:cs="Arial"/>
          <w:sz w:val="20"/>
          <w:szCs w:val="20"/>
        </w:rPr>
        <w:t xml:space="preserve"> organismos no gubernamentales;</w:t>
      </w:r>
    </w:p>
    <w:p w14:paraId="477E6035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II.-</w:t>
      </w:r>
      <w:proofErr w:type="gramStart"/>
      <w:r>
        <w:rPr>
          <w:rFonts w:ascii="Arial" w:hAnsi="Arial" w:cs="Arial"/>
          <w:sz w:val="20"/>
          <w:szCs w:val="20"/>
        </w:rPr>
        <w:t>Secretario</w:t>
      </w:r>
      <w:proofErr w:type="gramEnd"/>
      <w:r>
        <w:rPr>
          <w:rFonts w:ascii="Arial" w:hAnsi="Arial" w:cs="Arial"/>
          <w:sz w:val="20"/>
          <w:szCs w:val="20"/>
        </w:rPr>
        <w:t xml:space="preserve">. - Será el Director General del Instituto Municipal de Vivienda de Dolores Hidalgo, </w:t>
      </w:r>
      <w:proofErr w:type="spellStart"/>
      <w:r>
        <w:rPr>
          <w:rFonts w:ascii="Arial" w:hAnsi="Arial" w:cs="Arial"/>
          <w:sz w:val="20"/>
          <w:szCs w:val="20"/>
        </w:rPr>
        <w:t>Gto</w:t>
      </w:r>
      <w:proofErr w:type="spellEnd"/>
      <w:r>
        <w:rPr>
          <w:rFonts w:ascii="Arial" w:hAnsi="Arial" w:cs="Arial"/>
          <w:sz w:val="20"/>
          <w:szCs w:val="20"/>
        </w:rPr>
        <w:t>. O su equivalente;</w:t>
      </w:r>
    </w:p>
    <w:p w14:paraId="563DA672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III.- Tesorero. - Será el Tesorero Municipal;</w:t>
      </w:r>
    </w:p>
    <w:p w14:paraId="16275169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IV.- Vocal 1.- Será el director de </w:t>
      </w:r>
      <w:r>
        <w:rPr>
          <w:rFonts w:ascii="Arial" w:hAnsi="Arial" w:cs="Arial"/>
          <w:sz w:val="20"/>
          <w:szCs w:val="20"/>
        </w:rPr>
        <w:t>Infraestructura y Conectividad del Municipio;</w:t>
      </w:r>
    </w:p>
    <w:p w14:paraId="7D6AF57E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V.- Vocal 2.- Será el director de Agua potable o su equivalente;</w:t>
      </w:r>
    </w:p>
    <w:p w14:paraId="0B58E680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VI.- Vocal 3.- será un miembro de la iniciativa privada o de organismos no gubernamentales; y </w:t>
      </w:r>
    </w:p>
    <w:p w14:paraId="6C8F7C90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VII.- Vocal 4.- Será el director de Desarrollo Urb</w:t>
      </w:r>
      <w:r>
        <w:rPr>
          <w:rFonts w:ascii="Arial" w:hAnsi="Arial" w:cs="Arial"/>
          <w:sz w:val="20"/>
          <w:szCs w:val="20"/>
        </w:rPr>
        <w:t>ano y Ordenamiento Territorial Sustentable del Municipio.</w:t>
      </w:r>
    </w:p>
    <w:p w14:paraId="57AA85C4" w14:textId="77777777" w:rsidR="000711EF" w:rsidRDefault="000711E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DA87F2" w14:textId="77777777" w:rsidR="000711EF" w:rsidRDefault="00827B8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la operatividad del Instituto, se cuenta con las áreas siguientes: </w:t>
      </w:r>
      <w:r>
        <w:rPr>
          <w:rFonts w:ascii="Arial" w:hAnsi="Arial" w:cs="Arial"/>
          <w:b/>
          <w:sz w:val="20"/>
          <w:szCs w:val="20"/>
        </w:rPr>
        <w:t>Director General,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Área Técnica, Área Jurídica, Área Administrativa y Financiera y Área de Promoción Social.</w:t>
      </w:r>
    </w:p>
    <w:p w14:paraId="319E1D4A" w14:textId="77777777" w:rsidR="000711EF" w:rsidRDefault="000711E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D6799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ascii="Arial" w:hAnsi="Arial" w:cs="Arial"/>
          <w:sz w:val="20"/>
          <w:szCs w:val="20"/>
        </w:rPr>
        <w:t>Es importante me</w:t>
      </w:r>
      <w:r>
        <w:rPr>
          <w:rFonts w:ascii="Arial" w:hAnsi="Arial" w:cs="Arial"/>
          <w:sz w:val="20"/>
          <w:szCs w:val="20"/>
        </w:rPr>
        <w:t>ncionar que, a la fecha en el Instituto, está en proceso de cambios constantes dentro de la estructura del mismo.</w:t>
      </w:r>
    </w:p>
    <w:p w14:paraId="5402C02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891E05A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" w:name="_Toc181100307"/>
      <w:r>
        <w:rPr>
          <w:rFonts w:asciiTheme="minorHAnsi" w:hAnsiTheme="minorHAnsi" w:cstheme="minorHAnsi"/>
          <w:b/>
          <w:color w:val="auto"/>
          <w:sz w:val="22"/>
        </w:rPr>
        <w:t>2. Panorama Económico y Financiero</w:t>
      </w:r>
      <w:bookmarkEnd w:id="1"/>
    </w:p>
    <w:p w14:paraId="5F5883C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 las principales condiciones económico-financieras bajo las cuales el ente público estuv</w:t>
      </w:r>
      <w:r>
        <w:rPr>
          <w:rFonts w:cs="Calibri"/>
        </w:rPr>
        <w:t>o operando; y las cuales influyeron en la toma de decisiones de la administración; tanto a nivel local como federal.</w:t>
      </w:r>
    </w:p>
    <w:p w14:paraId="61C56EF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3FFB75" w14:textId="77777777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IMUVI tiene como objetivo promocionar y fomentar a la vivienda popular o de interés social, a efecto de que las familias de escasos rec</w:t>
      </w:r>
      <w:r>
        <w:rPr>
          <w:rFonts w:ascii="Arial" w:hAnsi="Arial" w:cs="Arial"/>
          <w:sz w:val="20"/>
          <w:szCs w:val="20"/>
        </w:rPr>
        <w:t>ursos económicos cuenten con una vivienda digna, participando activamente en la gestión de los Programas sociales que la federación.</w:t>
      </w:r>
    </w:p>
    <w:p w14:paraId="279EBB01" w14:textId="77777777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Instituto Municipal de Vivienda operará durante el presente presupuesto, con ingresos propios al igual se considera obte</w:t>
      </w:r>
      <w:r>
        <w:rPr>
          <w:rFonts w:ascii="Arial" w:hAnsi="Arial" w:cs="Arial"/>
          <w:sz w:val="20"/>
          <w:szCs w:val="20"/>
        </w:rPr>
        <w:t>ner transferencias municipales; las prioridades de gasto para 202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se enfocan en la austeridad y prudencia en la aplicación del Ingreso-egreso.</w:t>
      </w:r>
    </w:p>
    <w:p w14:paraId="0F78E6D0" w14:textId="7CB1ACEA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pronóstico de ingresos para el ejercicio de 202</w:t>
      </w:r>
      <w:r w:rsidR="00587F7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asciende a la cantidad de $</w:t>
      </w:r>
      <w:r w:rsidR="00587F7B">
        <w:rPr>
          <w:rFonts w:ascii="Arial" w:hAnsi="Arial" w:cs="Arial"/>
          <w:sz w:val="20"/>
          <w:szCs w:val="20"/>
        </w:rPr>
        <w:t>6,024,933.00</w:t>
      </w:r>
      <w:r>
        <w:rPr>
          <w:rFonts w:ascii="Arial" w:hAnsi="Arial" w:cs="Arial"/>
          <w:sz w:val="20"/>
          <w:szCs w:val="20"/>
        </w:rPr>
        <w:t xml:space="preserve"> por lo que en cumplimiento a lo establecido en el artículo 4 de la Ley para el Ejercicio y Control de los Recursos Públicos </w:t>
      </w:r>
      <w:r>
        <w:rPr>
          <w:rFonts w:ascii="Arial" w:hAnsi="Arial" w:cs="Arial"/>
          <w:sz w:val="20"/>
          <w:szCs w:val="20"/>
        </w:rPr>
        <w:lastRenderedPageBreak/>
        <w:t>para el Estado y los Municipios de Guanajuato, se guarda el equilibrio presupuestario y para el presupuesto de egresos se establece</w:t>
      </w:r>
      <w:r>
        <w:rPr>
          <w:rFonts w:ascii="Arial" w:hAnsi="Arial" w:cs="Arial"/>
          <w:sz w:val="20"/>
          <w:szCs w:val="20"/>
        </w:rPr>
        <w:t xml:space="preserve"> la misma cantidad.</w:t>
      </w:r>
    </w:p>
    <w:p w14:paraId="2C3B7E0C" w14:textId="039618ED" w:rsidR="000711EF" w:rsidRDefault="00827B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proceso de presupuestación para el ejercicio fiscal 202</w:t>
      </w:r>
      <w:r w:rsidR="00587F7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del IMUVI, fue elaborado y proyectado en base a los objetivos y a las atribuciones que le competen al IMUVI, así como a las necesidades de operación y ejecución de sus activida</w:t>
      </w:r>
      <w:r>
        <w:rPr>
          <w:rFonts w:ascii="Arial" w:hAnsi="Arial" w:cs="Arial"/>
          <w:sz w:val="20"/>
          <w:szCs w:val="20"/>
        </w:rPr>
        <w:t>des.</w:t>
      </w:r>
    </w:p>
    <w:p w14:paraId="015F6CF4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4E370E8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2" w:name="_Toc181100308"/>
      <w:r>
        <w:rPr>
          <w:rFonts w:asciiTheme="minorHAnsi" w:hAnsiTheme="minorHAnsi" w:cstheme="minorHAnsi"/>
          <w:b/>
          <w:color w:val="auto"/>
          <w:sz w:val="22"/>
        </w:rPr>
        <w:t>3. Organización y Objeto Social:</w:t>
      </w:r>
      <w:bookmarkEnd w:id="2"/>
    </w:p>
    <w:p w14:paraId="646F4AD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C965E1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sobre:</w:t>
      </w:r>
    </w:p>
    <w:p w14:paraId="4FA45F3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FE67A8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Objeto social.</w:t>
      </w:r>
    </w:p>
    <w:p w14:paraId="77F879CA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Propiciar que los habitantes más desprotegidos de la sociedad dolorense cuenten con una vivienda digna y decorosa.</w:t>
      </w:r>
    </w:p>
    <w:p w14:paraId="1265434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1D2CF3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F6525D6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Principal actividad.</w:t>
      </w:r>
    </w:p>
    <w:p w14:paraId="066951F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ascii="Arial" w:hAnsi="Arial" w:cs="Arial"/>
          <w:sz w:val="20"/>
          <w:szCs w:val="20"/>
        </w:rPr>
        <w:t xml:space="preserve">Promover y fomentar a la </w:t>
      </w:r>
      <w:r>
        <w:rPr>
          <w:rFonts w:ascii="Arial" w:hAnsi="Arial" w:cs="Arial"/>
          <w:sz w:val="20"/>
          <w:szCs w:val="20"/>
        </w:rPr>
        <w:t>vivienda popular o de interés social dentro del municipio, para que las personas de escasos recursos económicos cuenten con una vivienda digna</w:t>
      </w:r>
    </w:p>
    <w:p w14:paraId="1179642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904826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c)</w:t>
      </w:r>
      <w:r>
        <w:rPr>
          <w:rFonts w:cs="Calibri"/>
        </w:rPr>
        <w:t xml:space="preserve"> Ejercicio fiscal (mencionar, por ejemplo: enero a diciembre de 202</w:t>
      </w:r>
      <w:r>
        <w:rPr>
          <w:rFonts w:cs="Calibri"/>
        </w:rPr>
        <w:t>5</w:t>
      </w:r>
      <w:r>
        <w:rPr>
          <w:rFonts w:cs="Calibri"/>
        </w:rPr>
        <w:t>).</w:t>
      </w:r>
    </w:p>
    <w:p w14:paraId="3D0AF5B8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El ejercicio fiscal se comprende de ene</w:t>
      </w:r>
      <w:r>
        <w:rPr>
          <w:rFonts w:cs="Calibri"/>
        </w:rPr>
        <w:t>ro a diciembre 20</w:t>
      </w:r>
      <w:r>
        <w:rPr>
          <w:rFonts w:cs="Calibri"/>
        </w:rPr>
        <w:t>25.</w:t>
      </w:r>
    </w:p>
    <w:p w14:paraId="6881611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676B9F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d)</w:t>
      </w:r>
      <w:r>
        <w:rPr>
          <w:rFonts w:cs="Calibri"/>
        </w:rPr>
        <w:t xml:space="preserve"> Régimen jurídico (Forma como está dada de alta la entidad ante la S.H.C.P., ejemplos: S.C., S.A., Personas morales sin fines de lucro, etc.).</w:t>
      </w:r>
    </w:p>
    <w:p w14:paraId="53C960A5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"Persona Moral con fines no lucrativos”</w:t>
      </w:r>
    </w:p>
    <w:p w14:paraId="6F8D75F3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RAZON SOCIAL: Instituto Municipal de Vivienda de </w:t>
      </w:r>
      <w:r>
        <w:rPr>
          <w:rFonts w:ascii="Arial" w:hAnsi="Arial" w:cs="Arial"/>
          <w:sz w:val="20"/>
          <w:szCs w:val="20"/>
        </w:rPr>
        <w:t xml:space="preserve">Dolores Hidalgo, </w:t>
      </w:r>
      <w:proofErr w:type="spellStart"/>
      <w:r>
        <w:rPr>
          <w:rFonts w:ascii="Arial" w:hAnsi="Arial" w:cs="Arial"/>
          <w:sz w:val="20"/>
          <w:szCs w:val="20"/>
        </w:rPr>
        <w:t>Gto</w:t>
      </w:r>
      <w:proofErr w:type="spellEnd"/>
    </w:p>
    <w:p w14:paraId="20F2ED94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Av. de los Santos No. 1 Fracc. Todos Santos</w:t>
      </w:r>
    </w:p>
    <w:p w14:paraId="22911BD0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R. F. C.: IMV 050301 P33</w:t>
      </w:r>
    </w:p>
    <w:p w14:paraId="33E4B44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7E41C9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e)</w:t>
      </w:r>
      <w:r>
        <w:rPr>
          <w:rFonts w:cs="Calibri"/>
        </w:rPr>
        <w:t xml:space="preserve"> Consideraciones fiscales del ente: Revelar el tipo de contribuciones que esté obligado a pagar o retener.</w:t>
      </w:r>
    </w:p>
    <w:p w14:paraId="3528E9A7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conformidad con las disposiciones fiscales</w:t>
      </w:r>
      <w:r>
        <w:rPr>
          <w:rFonts w:ascii="Arial" w:hAnsi="Arial" w:cs="Arial"/>
          <w:sz w:val="20"/>
          <w:szCs w:val="20"/>
        </w:rPr>
        <w:t>, este Instituto tiene las siguientes obligaciones:</w:t>
      </w:r>
    </w:p>
    <w:p w14:paraId="7D98729F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nivel federal tiene la obligación de retener y enterar por los pagos que realice de sueldos y salarios, honorarios asimilados a sueldos, y honorarios por la prestación de servicios personales independie</w:t>
      </w:r>
      <w:r>
        <w:rPr>
          <w:rFonts w:ascii="Arial" w:hAnsi="Arial" w:cs="Arial"/>
          <w:sz w:val="20"/>
          <w:szCs w:val="20"/>
        </w:rPr>
        <w:t>ntes.</w:t>
      </w:r>
    </w:p>
    <w:p w14:paraId="5C723E7D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nivel estatal, tiene la obligación de los impuestos sobre nómina y entero de retenciones de pagos a profesionistas y sus correspondientes declaraciones informativas anuales.</w:t>
      </w:r>
    </w:p>
    <w:p w14:paraId="25D41DA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58233C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F096E9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27E5CA5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359039C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79048C4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3E85B670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2AB4C74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744D811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5C5D9C0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0E37A890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084A64F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29114575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16A2638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6ED143E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6D27CE0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f)</w:t>
      </w:r>
      <w:r>
        <w:rPr>
          <w:rFonts w:cs="Calibri"/>
        </w:rPr>
        <w:t xml:space="preserve"> Estructura organizacional básica.</w:t>
      </w:r>
    </w:p>
    <w:p w14:paraId="2B1821B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noProof/>
        </w:rPr>
        <w:drawing>
          <wp:inline distT="0" distB="0" distL="114300" distR="114300" wp14:anchorId="14C9A507" wp14:editId="16CCB644">
            <wp:extent cx="4820920" cy="2821940"/>
            <wp:effectExtent l="0" t="0" r="17780" b="165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12"/>
                    <a:srcRect l="23447" t="14975" r="25452" b="29836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1E80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C8BEBD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E4758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D7E43C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FFB849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F1B218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g)</w:t>
      </w:r>
      <w:r>
        <w:rPr>
          <w:rFonts w:cs="Calibri"/>
        </w:rPr>
        <w:t xml:space="preserve"> Fideicomisos de los cuales es fideicomitente o fideicomisario, y contratos análogos, incluyendo mandatos de los cuales es parte.</w:t>
      </w:r>
    </w:p>
    <w:p w14:paraId="7EE2DFC8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No se cuenta con fideicomisos.</w:t>
      </w:r>
    </w:p>
    <w:p w14:paraId="60AFF97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A01FCCE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3" w:name="_Toc181100309"/>
      <w:r>
        <w:rPr>
          <w:rFonts w:asciiTheme="minorHAnsi" w:hAnsiTheme="minorHAnsi" w:cstheme="minorHAnsi"/>
          <w:b/>
          <w:color w:val="auto"/>
          <w:sz w:val="22"/>
        </w:rPr>
        <w:t xml:space="preserve">4. Bases de Preparación de los Estados </w:t>
      </w:r>
      <w:r>
        <w:rPr>
          <w:rFonts w:asciiTheme="minorHAnsi" w:hAnsiTheme="minorHAnsi" w:cstheme="minorHAnsi"/>
          <w:b/>
          <w:color w:val="auto"/>
          <w:sz w:val="22"/>
        </w:rPr>
        <w:t>Financieros:</w:t>
      </w:r>
      <w:bookmarkEnd w:id="3"/>
    </w:p>
    <w:p w14:paraId="194C5BF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sobre:</w:t>
      </w:r>
    </w:p>
    <w:p w14:paraId="21716A4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707D5B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Si se ha observado la normatividad emitida por el CONAC y las disposiciones legales aplicables.</w:t>
      </w:r>
    </w:p>
    <w:p w14:paraId="229E2A0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partir del ejercicio </w:t>
      </w:r>
      <w:proofErr w:type="gramStart"/>
      <w:r>
        <w:rPr>
          <w:rFonts w:ascii="Arial" w:hAnsi="Arial" w:cs="Arial"/>
          <w:sz w:val="20"/>
          <w:szCs w:val="20"/>
        </w:rPr>
        <w:t>fiscal  2016</w:t>
      </w:r>
      <w:proofErr w:type="gramEnd"/>
      <w:r>
        <w:rPr>
          <w:rFonts w:ascii="Arial" w:hAnsi="Arial" w:cs="Arial"/>
          <w:sz w:val="20"/>
          <w:szCs w:val="20"/>
        </w:rPr>
        <w:t xml:space="preserve"> se está trabajando con el Sistema de Contabilidad Gubernamental que la Administración C</w:t>
      </w:r>
      <w:r>
        <w:rPr>
          <w:rFonts w:ascii="Arial" w:hAnsi="Arial" w:cs="Arial"/>
          <w:sz w:val="20"/>
          <w:szCs w:val="20"/>
        </w:rPr>
        <w:t>entral ha implementado, de acuerdo a los lineamientos y acuerdos que emite la CONAC, a partir del mes de junio 2023, se migro a la nueva versión de PAE HANA.</w:t>
      </w:r>
    </w:p>
    <w:p w14:paraId="28BF9EB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A37DD1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La normatividad aplicada para el reconocimiento, valuación y revelación de los diferentes rubr</w:t>
      </w:r>
      <w:r>
        <w:rPr>
          <w:rFonts w:cs="Calibri"/>
        </w:rPr>
        <w:t>os de la información financiera, así como las bases de medición utilizadas para la elaboración de los estados financieros; por ejemplo: costo histórico, valor de realización, valor razonable, valor de recuperación o cualquier otro método empleado y los cri</w:t>
      </w:r>
      <w:r>
        <w:rPr>
          <w:rFonts w:cs="Calibri"/>
        </w:rPr>
        <w:t>terios de aplicación de los mismos.</w:t>
      </w:r>
    </w:p>
    <w:p w14:paraId="2C28BD2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1EE45A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En proceso</w:t>
      </w:r>
    </w:p>
    <w:p w14:paraId="1CF4185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B56FD0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c)</w:t>
      </w:r>
      <w:r>
        <w:rPr>
          <w:rFonts w:cs="Calibri"/>
        </w:rPr>
        <w:t xml:space="preserve"> Postulados básicos de Contabilidad Gubernamental (PBCG).</w:t>
      </w:r>
    </w:p>
    <w:p w14:paraId="3334CDB4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está trabajando y aplicando cada uno de los postulados básicos de la Contabilidad Gubernamental:</w:t>
      </w:r>
    </w:p>
    <w:p w14:paraId="0BC4510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ascii="Arial" w:hAnsi="Arial" w:cs="Arial"/>
          <w:sz w:val="20"/>
          <w:szCs w:val="20"/>
        </w:rPr>
        <w:lastRenderedPageBreak/>
        <w:t xml:space="preserve">1.- Sustancia Económica, 2.- Entes </w:t>
      </w:r>
      <w:r>
        <w:rPr>
          <w:rFonts w:ascii="Arial" w:hAnsi="Arial" w:cs="Arial"/>
          <w:sz w:val="20"/>
          <w:szCs w:val="20"/>
        </w:rPr>
        <w:t>Públicos, 3.- Existencia Permanente, 4.- Revelación Suficiente, 5.- Importancia Relativa, 6.- Registro e Integración Presupuestaria, 7.- Consolidación de la Información Financiera, 8.- Devengo Contable, 9.- Valuación, 10.- Dualidad Económica, 11.- Consiste</w:t>
      </w:r>
      <w:r>
        <w:rPr>
          <w:rFonts w:ascii="Arial" w:hAnsi="Arial" w:cs="Arial"/>
          <w:sz w:val="20"/>
          <w:szCs w:val="20"/>
        </w:rPr>
        <w:t>ncia</w:t>
      </w:r>
    </w:p>
    <w:p w14:paraId="05653CD5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d)</w:t>
      </w:r>
      <w:r>
        <w:rPr>
          <w:rFonts w:cs="Calibri"/>
        </w:rPr>
        <w:t xml:space="preserve"> Normatividad supletoria. En caso de emplear varios grupos de normatividades (normatividades supletorias), deberá realizar la justificación razonable correspondiente, su alineación con los PBCG y a las características cualitativas asociadas descrita</w:t>
      </w:r>
      <w:r>
        <w:rPr>
          <w:rFonts w:cs="Calibri"/>
        </w:rPr>
        <w:t>s en el Marco Conceptual de Contabilidad Gubernamental (MCCG) y sus modificaciones.</w:t>
      </w:r>
    </w:p>
    <w:p w14:paraId="17DB6F3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Manual de Contabilidad Gubernamental emitido por el CONAC</w:t>
      </w:r>
    </w:p>
    <w:p w14:paraId="5845DDB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B581F7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e)</w:t>
      </w:r>
      <w:r>
        <w:rPr>
          <w:rFonts w:cs="Calibri"/>
        </w:rPr>
        <w:t xml:space="preserve"> Para las entidades que por primera vez estén implementando la base de devengado de acuerdo a la Ley de Contabi</w:t>
      </w:r>
      <w:r>
        <w:rPr>
          <w:rFonts w:cs="Calibri"/>
        </w:rPr>
        <w:t>lidad, deberán:</w:t>
      </w:r>
    </w:p>
    <w:p w14:paraId="4EBC95A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3C573E5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*Revelar las nuevas políticas de reconocimiento:</w:t>
      </w:r>
    </w:p>
    <w:p w14:paraId="38FBDE53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la implementación del sistema en el Municipio se está integrando la Contabilidad del IMUVI al </w:t>
      </w:r>
      <w:proofErr w:type="gramStart"/>
      <w:r>
        <w:rPr>
          <w:rFonts w:ascii="Arial" w:hAnsi="Arial" w:cs="Arial"/>
          <w:sz w:val="20"/>
          <w:szCs w:val="20"/>
        </w:rPr>
        <w:t>mismo,  con</w:t>
      </w:r>
      <w:proofErr w:type="gramEnd"/>
      <w:r>
        <w:rPr>
          <w:rFonts w:ascii="Arial" w:hAnsi="Arial" w:cs="Arial"/>
          <w:sz w:val="20"/>
          <w:szCs w:val="20"/>
        </w:rPr>
        <w:t xml:space="preserve"> los momentos contables presupuestales, de acuerdo a la normatividad vigente.</w:t>
      </w:r>
    </w:p>
    <w:p w14:paraId="318CF09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6F6B3E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*P</w:t>
      </w:r>
      <w:r>
        <w:rPr>
          <w:rFonts w:cs="Calibri"/>
        </w:rPr>
        <w:t>lan de implementación:</w:t>
      </w:r>
    </w:p>
    <w:p w14:paraId="4160D06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En proceso</w:t>
      </w:r>
    </w:p>
    <w:p w14:paraId="3A28DD2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CBA2A0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*Revelar los cambios en las políticas, la clasificación y medición de las mismas, así como su impacto en la información financiera:</w:t>
      </w:r>
    </w:p>
    <w:p w14:paraId="1CEAC268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En proceso</w:t>
      </w:r>
    </w:p>
    <w:p w14:paraId="7530D94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0CA6A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*Presentar los últimos estados financieros con la normatividad anteriormente </w:t>
      </w:r>
      <w:r>
        <w:rPr>
          <w:rFonts w:cs="Calibri"/>
        </w:rPr>
        <w:t>utilizada con las nuevas políticas para fines de comparación en la transición a la base de devengado.</w:t>
      </w:r>
    </w:p>
    <w:p w14:paraId="7661318C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9B6B795" w14:textId="77777777" w:rsidR="000711EF" w:rsidRDefault="00827B84">
      <w:pPr>
        <w:pStyle w:val="Ttulo2"/>
        <w:rPr>
          <w:rFonts w:cs="Calibri"/>
          <w:b/>
        </w:rPr>
      </w:pPr>
      <w:bookmarkStart w:id="4" w:name="_Toc181100310"/>
      <w:r>
        <w:rPr>
          <w:rFonts w:asciiTheme="minorHAnsi" w:hAnsiTheme="minorHAnsi" w:cstheme="minorHAnsi"/>
          <w:b/>
          <w:color w:val="auto"/>
          <w:sz w:val="22"/>
        </w:rPr>
        <w:t>5. Políticas de Contabilidad Significativas:</w:t>
      </w:r>
      <w:bookmarkEnd w:id="4"/>
    </w:p>
    <w:p w14:paraId="41AD7C0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Son los principios, bases, reglas y procedimientos específicos adoptados por el ente público en la elaboraci</w:t>
      </w:r>
      <w:r>
        <w:rPr>
          <w:rFonts w:cs="Calibri"/>
        </w:rPr>
        <w:t xml:space="preserve">ón y presentación de sus estados financieros. </w:t>
      </w:r>
    </w:p>
    <w:p w14:paraId="377B515D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El ente público seleccionará y aplicará sus políticas contables de manera congruente para transacciones, otros eventos y condiciones que sean similares.</w:t>
      </w:r>
    </w:p>
    <w:p w14:paraId="10ED213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sobre:</w:t>
      </w:r>
    </w:p>
    <w:p w14:paraId="741F4EC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01E43C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Actualización: se informará del </w:t>
      </w:r>
      <w:r>
        <w:rPr>
          <w:rFonts w:cs="Calibri"/>
        </w:rPr>
        <w:t>método utilizado para la actualización del valor de los activos, pasivos y Hacienda Pública/Patrimonio y las razones de dicha elección. Así como informar de la desconexión o reconexión inflacionaria:</w:t>
      </w:r>
    </w:p>
    <w:p w14:paraId="541AB2C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ascii="Cambria" w:eastAsia="Times New Roman" w:hAnsi="Cambria" w:cs="Arial"/>
          <w:u w:val="single"/>
          <w:lang w:val="es-ES" w:eastAsia="es-ES"/>
        </w:rPr>
        <w:t xml:space="preserve">A </w:t>
      </w:r>
      <w:r>
        <w:rPr>
          <w:rFonts w:cs="Calibri"/>
          <w:u w:val="single"/>
        </w:rPr>
        <w:t xml:space="preserve">través del Sistema de Contabilidad se han </w:t>
      </w:r>
      <w:r>
        <w:rPr>
          <w:rFonts w:cs="Calibri"/>
          <w:u w:val="single"/>
        </w:rPr>
        <w:t>aplicado los porcentajes de depreciación establecidos en los Parámetros de Estimación de Vida Útil, en lo que respecta a los pasivos y la Hacienda Pública no se han utilizado métodos de actualización.</w:t>
      </w:r>
    </w:p>
    <w:p w14:paraId="1F4A8BB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ascii="Cambria" w:eastAsia="Times New Roman" w:hAnsi="Cambria" w:cs="Arial"/>
          <w:u w:val="single"/>
          <w:lang w:val="es-ES" w:eastAsia="es-ES"/>
        </w:rPr>
      </w:pPr>
    </w:p>
    <w:p w14:paraId="09DF91A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Informar sobre la realización de operaciones en el </w:t>
      </w:r>
      <w:r>
        <w:rPr>
          <w:rFonts w:cs="Calibri"/>
        </w:rPr>
        <w:t>extranjero y de sus efectos en la información financiera gubernamental, considerando entre otros el importe de las variaciones cambiarias reconocidas en el resultado (ahorro o desahorro):</w:t>
      </w:r>
    </w:p>
    <w:p w14:paraId="60E36BCA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periodo no se han tenido operaciones en el extranjero</w:t>
      </w:r>
    </w:p>
    <w:p w14:paraId="0FAB0019" w14:textId="77777777" w:rsidR="000711EF" w:rsidRDefault="000711E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2F7F26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c)</w:t>
      </w:r>
      <w:r>
        <w:rPr>
          <w:rFonts w:cs="Calibri"/>
        </w:rPr>
        <w:t xml:space="preserve"> Método de valuación de la inversión en acciones de Compañías subsidiarias no consolidadas y asociadas:</w:t>
      </w:r>
    </w:p>
    <w:p w14:paraId="6F2D93E4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periodo no se tienen inversiones en acciones de Compañías Subsidiarias no consolidadas y asociadas</w:t>
      </w:r>
    </w:p>
    <w:p w14:paraId="428F8FC8" w14:textId="77777777" w:rsidR="000711EF" w:rsidRDefault="000711E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88BD28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lastRenderedPageBreak/>
        <w:t>d)</w:t>
      </w:r>
      <w:r>
        <w:rPr>
          <w:rFonts w:cs="Calibri"/>
        </w:rPr>
        <w:t xml:space="preserve"> Sistema y método de valuación de inventarios y</w:t>
      </w:r>
      <w:r>
        <w:rPr>
          <w:rFonts w:cs="Calibri"/>
        </w:rPr>
        <w:t xml:space="preserve"> costo de lo vendido:</w:t>
      </w:r>
    </w:p>
    <w:p w14:paraId="4718944E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periodo no se cuenta con inventario de mercancías para venta por lo que no se cuenta con un método de valuación y costo de lo vendido.</w:t>
      </w:r>
    </w:p>
    <w:p w14:paraId="14FE5991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CBED25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e)</w:t>
      </w:r>
      <w:r>
        <w:rPr>
          <w:rFonts w:cs="Calibri"/>
        </w:rPr>
        <w:t xml:space="preserve"> Beneficios a empleados: revelar el cálculo de la reserva actuarial, valor presente de los in</w:t>
      </w:r>
      <w:r>
        <w:rPr>
          <w:rFonts w:cs="Calibri"/>
        </w:rPr>
        <w:t>gresos esperados comparado con el valor presente de la estimación de gastos tanto de los beneficiarios actuales como futuros:</w:t>
      </w:r>
    </w:p>
    <w:p w14:paraId="3F990696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Al periodo no se tienen beneficios para empleados en cuestión de reserva actuarial.</w:t>
      </w:r>
    </w:p>
    <w:p w14:paraId="6C9E895F" w14:textId="77777777" w:rsidR="000711EF" w:rsidRDefault="000711E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08FC6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8C7845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f)</w:t>
      </w:r>
      <w:r>
        <w:rPr>
          <w:rFonts w:cs="Calibri"/>
        </w:rPr>
        <w:t xml:space="preserve"> Provisiones: objetivo de su creación, mon</w:t>
      </w:r>
      <w:r>
        <w:rPr>
          <w:rFonts w:cs="Calibri"/>
        </w:rPr>
        <w:t>to y plazo:</w:t>
      </w:r>
    </w:p>
    <w:p w14:paraId="692CA251" w14:textId="2380E86D" w:rsidR="000711EF" w:rsidRDefault="00827B84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AL período se tiene una cuenta de provisiones, para hacer frente a cualquier eventualidad por un monto de $</w:t>
      </w:r>
      <w:r w:rsidR="00587F7B">
        <w:rPr>
          <w:rFonts w:ascii="Arial" w:hAnsi="Arial" w:cs="Arial"/>
          <w:sz w:val="20"/>
          <w:szCs w:val="20"/>
          <w:u w:val="single"/>
        </w:rPr>
        <w:t>106,100.00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a un plazo al 31 de diciembre del 202</w:t>
      </w:r>
      <w:r w:rsidR="00587F7B">
        <w:rPr>
          <w:rFonts w:ascii="Arial" w:hAnsi="Arial" w:cs="Arial"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  <w:u w:val="single"/>
        </w:rPr>
        <w:t>.</w:t>
      </w:r>
    </w:p>
    <w:p w14:paraId="705BFDC6" w14:textId="77777777" w:rsidR="000711EF" w:rsidRDefault="000711EF">
      <w:pPr>
        <w:spacing w:after="0"/>
        <w:jc w:val="both"/>
        <w:rPr>
          <w:rFonts w:ascii="Arial" w:hAnsi="Arial" w:cs="Arial"/>
          <w:sz w:val="20"/>
          <w:szCs w:val="20"/>
          <w:lang w:val="es-ES"/>
        </w:rPr>
      </w:pPr>
    </w:p>
    <w:p w14:paraId="14239AE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4FA611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g)</w:t>
      </w:r>
      <w:r>
        <w:rPr>
          <w:rFonts w:cs="Calibri"/>
        </w:rPr>
        <w:t xml:space="preserve"> Reservas: objetivo de su creación, monto y plazo:</w:t>
      </w:r>
    </w:p>
    <w:p w14:paraId="046A9827" w14:textId="6A6CB52C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 xml:space="preserve">Se reservó los </w:t>
      </w:r>
      <w:r>
        <w:rPr>
          <w:rFonts w:cs="Calibri"/>
          <w:u w:val="single"/>
        </w:rPr>
        <w:t>conceptos del capítulo 1000, por la totalidad y a un plazo al 31 de diciembre de 202</w:t>
      </w:r>
      <w:r w:rsidR="00587F7B">
        <w:rPr>
          <w:rFonts w:cs="Calibri"/>
          <w:u w:val="single"/>
        </w:rPr>
        <w:t>6</w:t>
      </w:r>
    </w:p>
    <w:p w14:paraId="085BD4E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</w:p>
    <w:p w14:paraId="460284D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h)</w:t>
      </w:r>
      <w:r>
        <w:rPr>
          <w:rFonts w:cs="Calibri"/>
        </w:rPr>
        <w:t xml:space="preserve"> Cambios en políticas contables y corrección de errores junto con la revelación de los efectos que se tendrá en la información financiera del ente público, ya sea retr</w:t>
      </w:r>
      <w:r>
        <w:rPr>
          <w:rFonts w:cs="Calibri"/>
        </w:rPr>
        <w:t>ospectivos o prospectivos:</w:t>
      </w:r>
    </w:p>
    <w:p w14:paraId="69B01D46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Los cambios en políticas contables que se llevaron a cabo en este ente público para la emisión de información financiera, fueron de acuerdo la Ley de Contabilidad Gubernamental y la Normatividad vigente emitida por el CONAC hasta</w:t>
      </w:r>
      <w:r>
        <w:rPr>
          <w:rFonts w:cs="Calibri"/>
          <w:u w:val="single"/>
        </w:rPr>
        <w:t xml:space="preserve"> el periodo que se informa.</w:t>
      </w:r>
    </w:p>
    <w:p w14:paraId="2460047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297EA4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i)</w:t>
      </w:r>
      <w:r>
        <w:rPr>
          <w:rFonts w:cs="Calibri"/>
        </w:rPr>
        <w:t xml:space="preserve"> Reclasificaciones: Se deben revelar todos aquellos movimientos entre cuentas por efectos de cambios en los tipos de operaciones:</w:t>
      </w:r>
    </w:p>
    <w:p w14:paraId="69035D3D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A la fecha no se han realizado reclasificaciones.</w:t>
      </w:r>
    </w:p>
    <w:p w14:paraId="411CD6E2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A6C814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j)</w:t>
      </w:r>
      <w:r>
        <w:rPr>
          <w:rFonts w:cs="Calibri"/>
        </w:rPr>
        <w:t xml:space="preserve"> Depuración y cancelación de saldos:</w:t>
      </w:r>
    </w:p>
    <w:p w14:paraId="7FA77CB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ascii="Arial" w:hAnsi="Arial" w:cs="Arial"/>
          <w:sz w:val="20"/>
          <w:szCs w:val="20"/>
          <w:lang w:val="es-ES"/>
        </w:rPr>
        <w:t>Actua</w:t>
      </w:r>
      <w:r>
        <w:rPr>
          <w:rFonts w:ascii="Arial" w:hAnsi="Arial" w:cs="Arial"/>
          <w:sz w:val="20"/>
          <w:szCs w:val="20"/>
          <w:lang w:val="es-ES"/>
        </w:rPr>
        <w:t>lmente en el Estado de situación financiera algunas cuentas presentan inconsistencias en el saldo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es-ES"/>
        </w:rPr>
        <w:t xml:space="preserve"> por lo </w:t>
      </w:r>
      <w:proofErr w:type="gramStart"/>
      <w:r>
        <w:rPr>
          <w:rFonts w:ascii="Arial" w:hAnsi="Arial" w:cs="Arial"/>
          <w:sz w:val="20"/>
          <w:szCs w:val="20"/>
          <w:lang w:val="es-ES"/>
        </w:rPr>
        <w:t>que  se</w:t>
      </w:r>
      <w:proofErr w:type="gramEnd"/>
      <w:r>
        <w:rPr>
          <w:rFonts w:ascii="Arial" w:hAnsi="Arial" w:cs="Arial"/>
          <w:sz w:val="20"/>
          <w:szCs w:val="20"/>
          <w:lang w:val="es-ES"/>
        </w:rPr>
        <w:t xml:space="preserve"> está en proceso de revisión para llevar a cabo la depuración de las mismas.</w:t>
      </w:r>
    </w:p>
    <w:p w14:paraId="5767899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A161FED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5" w:name="_Toc181100311"/>
      <w:r>
        <w:rPr>
          <w:rFonts w:asciiTheme="minorHAnsi" w:hAnsiTheme="minorHAnsi" w:cstheme="minorHAnsi"/>
          <w:b/>
          <w:color w:val="auto"/>
          <w:sz w:val="22"/>
        </w:rPr>
        <w:t xml:space="preserve">6. Posición en Moneda Extranjera y Protección por Riesgo </w:t>
      </w:r>
      <w:r>
        <w:rPr>
          <w:rFonts w:asciiTheme="minorHAnsi" w:hAnsiTheme="minorHAnsi" w:cstheme="minorHAnsi"/>
          <w:b/>
          <w:color w:val="auto"/>
          <w:sz w:val="22"/>
        </w:rPr>
        <w:t>Cambiario:</w:t>
      </w:r>
      <w:bookmarkEnd w:id="5"/>
    </w:p>
    <w:p w14:paraId="7DD3982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98197F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sobre:</w:t>
      </w:r>
    </w:p>
    <w:p w14:paraId="3BB0B42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4FD187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Activos en moneda extranjera:</w:t>
      </w:r>
    </w:p>
    <w:p w14:paraId="7C9F3E5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El IMUVI no cuenta con activos en moneda extranjera.</w:t>
      </w:r>
    </w:p>
    <w:p w14:paraId="0427EF5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B15C52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Pasivos en moneda extranjera:</w:t>
      </w:r>
    </w:p>
    <w:p w14:paraId="5D386BBD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El IMUVI no cuenta con pasivos en moneda extranjera.</w:t>
      </w:r>
    </w:p>
    <w:p w14:paraId="588A08F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286439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 xml:space="preserve">c) </w:t>
      </w:r>
      <w:r>
        <w:rPr>
          <w:rFonts w:cs="Calibri"/>
        </w:rPr>
        <w:t>Posición en moneda extranjera:</w:t>
      </w:r>
    </w:p>
    <w:p w14:paraId="33DB0418" w14:textId="77777777" w:rsidR="000711EF" w:rsidRDefault="00827B84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 IMUVI no rea</w:t>
      </w:r>
      <w:r>
        <w:rPr>
          <w:rFonts w:ascii="Arial" w:hAnsi="Arial" w:cs="Arial"/>
          <w:sz w:val="20"/>
          <w:szCs w:val="20"/>
          <w:u w:val="single"/>
        </w:rPr>
        <w:t>liza operaciones en Moneda Extranjera</w:t>
      </w:r>
    </w:p>
    <w:p w14:paraId="7438CE34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24B97A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d)</w:t>
      </w:r>
      <w:r>
        <w:rPr>
          <w:rFonts w:cs="Calibri"/>
        </w:rPr>
        <w:t xml:space="preserve"> Tipo de cambio:</w:t>
      </w:r>
    </w:p>
    <w:p w14:paraId="6905B7C2" w14:textId="77777777" w:rsidR="000711EF" w:rsidRDefault="00827B84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 IMUVI no realiza operaciones en Moneda Extranjera</w:t>
      </w:r>
    </w:p>
    <w:p w14:paraId="1B67825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lastRenderedPageBreak/>
        <w:t xml:space="preserve">e) </w:t>
      </w:r>
      <w:r>
        <w:rPr>
          <w:rFonts w:cs="Calibri"/>
        </w:rPr>
        <w:t>Equivalente en moneda nacional:</w:t>
      </w:r>
    </w:p>
    <w:p w14:paraId="6D011169" w14:textId="77777777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IMUVI no realiza operaciones en Moneda Extranjera</w:t>
      </w:r>
    </w:p>
    <w:p w14:paraId="5D05CB0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Lo anterior por cada tipo de moneda extranjera que se </w:t>
      </w:r>
      <w:r>
        <w:rPr>
          <w:rFonts w:cs="Calibri"/>
        </w:rPr>
        <w:t>encuentre en los rubros de activo y pasivo.</w:t>
      </w:r>
    </w:p>
    <w:p w14:paraId="4249A188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Adicionalmente, se informará sobre los métodos de protección de riesgo por variaciones en el tipo de cambio.</w:t>
      </w:r>
    </w:p>
    <w:p w14:paraId="1DC6B2C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AC543F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CCE8752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6" w:name="_Toc181100312"/>
      <w:r>
        <w:rPr>
          <w:rFonts w:asciiTheme="minorHAnsi" w:hAnsiTheme="minorHAnsi" w:cstheme="minorHAnsi"/>
          <w:b/>
          <w:color w:val="auto"/>
          <w:sz w:val="22"/>
        </w:rPr>
        <w:t>7. Reporte Analítico del Activo:</w:t>
      </w:r>
      <w:bookmarkEnd w:id="6"/>
    </w:p>
    <w:p w14:paraId="0A2A2E0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F34A93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Debe mostrar la siguiente información:</w:t>
      </w:r>
    </w:p>
    <w:p w14:paraId="724BB72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DBE6B1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Vida útil, porcentajes d</w:t>
      </w:r>
      <w:r>
        <w:rPr>
          <w:rFonts w:cs="Calibri"/>
        </w:rPr>
        <w:t>e depreciación y amortización utilizados en los diferentes tipos de activos, o el importe de las pérdidas por deterioro reconocidas:</w:t>
      </w:r>
    </w:p>
    <w:tbl>
      <w:tblPr>
        <w:tblW w:w="5000" w:type="pct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964"/>
        <w:gridCol w:w="1025"/>
        <w:gridCol w:w="1683"/>
      </w:tblGrid>
      <w:tr w:rsidR="000711EF" w14:paraId="74D207F7" w14:textId="77777777">
        <w:trPr>
          <w:trHeight w:val="20"/>
          <w:tblHeader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D206C2F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  <w:t>Concepto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FE344CF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  <w:t>Años de vida útil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CD364E3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val="es-MX"/>
              </w:rPr>
              <w:t>% de depreciación anual</w:t>
            </w:r>
          </w:p>
        </w:tc>
      </w:tr>
      <w:tr w:rsidR="000711EF" w14:paraId="6ACBEDF7" w14:textId="77777777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514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  <w:t>BIENES MUEBLES</w:t>
            </w:r>
          </w:p>
        </w:tc>
      </w:tr>
      <w:tr w:rsidR="000711EF" w14:paraId="099411F8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046F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  <w:t>Mobiliario y Equipo de Administración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D8CA" w14:textId="77777777" w:rsidR="000711EF" w:rsidRDefault="000711EF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7548" w14:textId="77777777" w:rsidR="000711EF" w:rsidRDefault="000711EF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</w:p>
        </w:tc>
      </w:tr>
      <w:tr w:rsidR="000711EF" w14:paraId="00F36C29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FD29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 xml:space="preserve">Muebles de </w:t>
            </w: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Oficina y Estantería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CBDC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9913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</w:tr>
      <w:tr w:rsidR="000711EF" w14:paraId="09EDBC8A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16EC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Muebles, Excepto De Oficina Y Estantería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0DCA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CA40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</w:tr>
      <w:tr w:rsidR="000711EF" w14:paraId="36AEB9DF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B1F5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Equipo de Cómputo y de Tecnologías de la Información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C3D7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0606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33.3</w:t>
            </w:r>
          </w:p>
        </w:tc>
      </w:tr>
      <w:tr w:rsidR="000711EF" w14:paraId="5CBF1AF5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617F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Otros Mobiliarios y Equipos de Administración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3BE6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BC94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</w:tr>
      <w:tr w:rsidR="000711EF" w14:paraId="287AEB3C" w14:textId="77777777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14C1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  <w:t>Mobiliario y Equipo Educacional y Recreativo</w:t>
            </w:r>
          </w:p>
        </w:tc>
      </w:tr>
      <w:tr w:rsidR="000711EF" w14:paraId="28AFAD9D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1C57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 xml:space="preserve">Equipos y </w:t>
            </w: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Aparatos Audiovisuales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EA49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9A3C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33.3</w:t>
            </w:r>
          </w:p>
        </w:tc>
      </w:tr>
      <w:tr w:rsidR="000711EF" w14:paraId="30E0BDA4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440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Aparatos Deportivos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81C0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5805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20</w:t>
            </w:r>
          </w:p>
        </w:tc>
      </w:tr>
      <w:tr w:rsidR="000711EF" w14:paraId="64AC46DC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FFF0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Cámaras Fotográficas y de Video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7F57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0EB1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33.3</w:t>
            </w:r>
          </w:p>
        </w:tc>
      </w:tr>
      <w:tr w:rsidR="000711EF" w14:paraId="14B66441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465B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Otro Mobiliario y Equipo Educacional y Recreativo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E222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FA5B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20</w:t>
            </w:r>
          </w:p>
        </w:tc>
      </w:tr>
      <w:tr w:rsidR="000711EF" w14:paraId="5136304C" w14:textId="77777777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A5F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s-MX" w:eastAsia="en-US"/>
              </w:rPr>
              <w:t>Equipo de Transporte</w:t>
            </w:r>
          </w:p>
        </w:tc>
      </w:tr>
      <w:tr w:rsidR="000711EF" w14:paraId="1D5388BB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BFE2" w14:textId="77777777" w:rsidR="000711EF" w:rsidRDefault="00827B84">
            <w:pPr>
              <w:pStyle w:val="Texto"/>
              <w:spacing w:line="240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Automóviles y Equipo Terrestre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6A3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6446" w14:textId="77777777" w:rsidR="000711EF" w:rsidRDefault="00827B84">
            <w:pPr>
              <w:pStyle w:val="Texto"/>
              <w:spacing w:line="240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20</w:t>
            </w:r>
          </w:p>
        </w:tc>
      </w:tr>
      <w:tr w:rsidR="000711EF" w14:paraId="4F080FEC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235C" w14:textId="77777777" w:rsidR="000711EF" w:rsidRDefault="00827B84">
            <w:pPr>
              <w:pStyle w:val="Texto"/>
              <w:spacing w:line="226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Otros Equipos de Transporte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4775" w14:textId="77777777" w:rsidR="000711EF" w:rsidRDefault="00827B84">
            <w:pPr>
              <w:pStyle w:val="Texto"/>
              <w:spacing w:line="226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0E79" w14:textId="77777777" w:rsidR="000711EF" w:rsidRDefault="00827B84">
            <w:pPr>
              <w:pStyle w:val="Texto"/>
              <w:spacing w:line="226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20</w:t>
            </w:r>
          </w:p>
        </w:tc>
      </w:tr>
      <w:tr w:rsidR="000711EF" w14:paraId="56A1CAC7" w14:textId="77777777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B405" w14:textId="77777777" w:rsidR="000711EF" w:rsidRDefault="00827B84">
            <w:pPr>
              <w:pStyle w:val="Texto"/>
              <w:spacing w:line="226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Maquinaria, Otros Equipos y Herramientas</w:t>
            </w:r>
          </w:p>
        </w:tc>
      </w:tr>
      <w:tr w:rsidR="000711EF" w14:paraId="3C07C162" w14:textId="77777777">
        <w:trPr>
          <w:trHeight w:val="20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1F85" w14:textId="77777777" w:rsidR="000711EF" w:rsidRDefault="00827B84">
            <w:pPr>
              <w:pStyle w:val="Texto"/>
              <w:spacing w:line="226" w:lineRule="exact"/>
              <w:ind w:firstLine="0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Maquinaria y Equipo Agropecuario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E204" w14:textId="77777777" w:rsidR="000711EF" w:rsidRDefault="00827B84">
            <w:pPr>
              <w:pStyle w:val="Texto"/>
              <w:spacing w:line="226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B634" w14:textId="77777777" w:rsidR="000711EF" w:rsidRDefault="00827B84">
            <w:pPr>
              <w:pStyle w:val="Texto"/>
              <w:spacing w:line="226" w:lineRule="exact"/>
              <w:ind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MX" w:eastAsia="en-US"/>
              </w:rPr>
              <w:t>10</w:t>
            </w:r>
          </w:p>
        </w:tc>
      </w:tr>
    </w:tbl>
    <w:p w14:paraId="109293F0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2420EA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Cambios en el porcentaje de depreciación y amortización y en el valor de los activos ocasionado por deterioro:</w:t>
      </w:r>
    </w:p>
    <w:p w14:paraId="1B397D9B" w14:textId="77777777" w:rsidR="000711EF" w:rsidRDefault="00827B84">
      <w:pPr>
        <w:jc w:val="both"/>
        <w:rPr>
          <w:rFonts w:cs="Calibri"/>
          <w:u w:val="single"/>
        </w:rPr>
      </w:pPr>
      <w:r>
        <w:rPr>
          <w:rFonts w:cs="Calibri"/>
          <w:u w:val="single"/>
        </w:rPr>
        <w:t>Se aplican los determinados en los lineamientos emitidos por el CONAC.</w:t>
      </w:r>
    </w:p>
    <w:p w14:paraId="079461B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c)</w:t>
      </w:r>
      <w:r>
        <w:rPr>
          <w:rFonts w:cs="Calibri"/>
        </w:rPr>
        <w:t xml:space="preserve"> Importe de los gastos capitalizados en el ejercicio, tanto financieros</w:t>
      </w:r>
      <w:r>
        <w:rPr>
          <w:rFonts w:cs="Calibri"/>
        </w:rPr>
        <w:t xml:space="preserve"> como de investigación y desarrollo:</w:t>
      </w:r>
    </w:p>
    <w:p w14:paraId="6275DBCF" w14:textId="77777777" w:rsidR="000711EF" w:rsidRDefault="00827B84">
      <w:pPr>
        <w:jc w:val="both"/>
        <w:rPr>
          <w:rFonts w:cs="Calibri"/>
          <w:u w:val="single"/>
        </w:rPr>
      </w:pPr>
      <w:r>
        <w:rPr>
          <w:rFonts w:cs="Calibri"/>
          <w:u w:val="single"/>
        </w:rPr>
        <w:t>No se han efectuado gastos para la actualización y capitalización de los activos.</w:t>
      </w:r>
    </w:p>
    <w:p w14:paraId="5E7E79B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d)</w:t>
      </w:r>
      <w:r>
        <w:rPr>
          <w:rFonts w:cs="Calibri"/>
        </w:rPr>
        <w:t xml:space="preserve"> Riesgos por tipo de cambio o tipo de interés de las inversiones financieras:</w:t>
      </w:r>
    </w:p>
    <w:p w14:paraId="3510B321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 tienen inversiones en Mesa de Dinero, pero sin ningún </w:t>
      </w:r>
      <w:r>
        <w:rPr>
          <w:rFonts w:ascii="Arial" w:hAnsi="Arial" w:cs="Arial"/>
          <w:sz w:val="20"/>
          <w:szCs w:val="20"/>
          <w:u w:val="single"/>
        </w:rPr>
        <w:t>tipo de riesgo.</w:t>
      </w:r>
    </w:p>
    <w:p w14:paraId="5CB4DBA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15C116E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 xml:space="preserve">e) </w:t>
      </w:r>
      <w:r>
        <w:rPr>
          <w:rFonts w:cs="Calibri"/>
        </w:rPr>
        <w:t>Valor activado en el ejercicio de los bienes construidos por la entidad:</w:t>
      </w:r>
    </w:p>
    <w:p w14:paraId="6415686C" w14:textId="77777777" w:rsidR="000711EF" w:rsidRDefault="00827B84">
      <w:pPr>
        <w:spacing w:after="0"/>
        <w:jc w:val="both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>No se efectuado este procedimiento</w:t>
      </w:r>
    </w:p>
    <w:p w14:paraId="2453F1A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36AFF51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f)</w:t>
      </w:r>
      <w:r>
        <w:rPr>
          <w:rFonts w:cs="Calibri"/>
        </w:rPr>
        <w:t xml:space="preserve"> Otras circunstancias de carácter significativo que afecten el activo, tales como bienes en garantía, señalados en embargos, </w:t>
      </w:r>
      <w:r>
        <w:rPr>
          <w:rFonts w:cs="Calibri"/>
        </w:rPr>
        <w:t>litigios, títulos de inversiones entregados en garantías, baja significativa del valor de inversiones financieras, etc.:</w:t>
      </w:r>
    </w:p>
    <w:p w14:paraId="7AD1AA3A" w14:textId="77777777" w:rsidR="000711EF" w:rsidRDefault="00827B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No se tienen a la fecha bienes embargados, ni inversiones entregadas en garantía</w:t>
      </w:r>
      <w:r>
        <w:rPr>
          <w:rFonts w:ascii="Arial" w:hAnsi="Arial" w:cs="Arial"/>
          <w:sz w:val="20"/>
          <w:szCs w:val="20"/>
        </w:rPr>
        <w:t>.</w:t>
      </w:r>
    </w:p>
    <w:p w14:paraId="587C712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g)</w:t>
      </w:r>
      <w:r>
        <w:rPr>
          <w:rFonts w:cs="Calibri"/>
        </w:rPr>
        <w:t xml:space="preserve"> Desmantelamiento de Activos, procedimientos, implicaciones, efectos contables:</w:t>
      </w:r>
    </w:p>
    <w:p w14:paraId="390E99CC" w14:textId="77777777" w:rsidR="000711EF" w:rsidRDefault="00827B84">
      <w:pPr>
        <w:jc w:val="both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 xml:space="preserve">No se tiene desmantelamiento de bienes </w:t>
      </w:r>
    </w:p>
    <w:p w14:paraId="002F07C5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h)</w:t>
      </w:r>
      <w:r>
        <w:rPr>
          <w:rFonts w:cs="Calibri"/>
        </w:rPr>
        <w:t xml:space="preserve"> Administración de activos; planeación con el objetivo de que el ente los utilice de manera más efectiva:</w:t>
      </w:r>
    </w:p>
    <w:p w14:paraId="2749D02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5C456B8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Adicionalmente, se deben in</w:t>
      </w:r>
      <w:r>
        <w:rPr>
          <w:rFonts w:cs="Calibri"/>
        </w:rPr>
        <w:t>cluir las explicaciones de las principales variaciones en el activo, en cuadros comparativos como sigue:</w:t>
      </w:r>
    </w:p>
    <w:p w14:paraId="683FA92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D4A4FD5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Inversiones en valores:</w:t>
      </w:r>
    </w:p>
    <w:p w14:paraId="56E57D76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No aplica</w:t>
      </w:r>
    </w:p>
    <w:p w14:paraId="3D0B050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ACD1D0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Patrimonio de Organismos Descentralizados de Control Presupuestario Indirecto:</w:t>
      </w:r>
    </w:p>
    <w:p w14:paraId="59E0ACC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No aplica</w:t>
      </w:r>
    </w:p>
    <w:p w14:paraId="1B51308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4BF638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c)</w:t>
      </w:r>
      <w:r>
        <w:rPr>
          <w:rFonts w:cs="Calibri"/>
        </w:rPr>
        <w:t xml:space="preserve"> Inversiones en e</w:t>
      </w:r>
      <w:r>
        <w:rPr>
          <w:rFonts w:cs="Calibri"/>
        </w:rPr>
        <w:t>mpresas de participación mayoritaria:</w:t>
      </w:r>
    </w:p>
    <w:p w14:paraId="0D5A7D5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No aplica</w:t>
      </w:r>
    </w:p>
    <w:p w14:paraId="6386AAF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059F9C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d)</w:t>
      </w:r>
      <w:r>
        <w:rPr>
          <w:rFonts w:cs="Calibri"/>
        </w:rPr>
        <w:t xml:space="preserve"> Inversiones en empresas de participación minoritaria:</w:t>
      </w:r>
    </w:p>
    <w:p w14:paraId="56D05A00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No aplica</w:t>
      </w:r>
    </w:p>
    <w:p w14:paraId="1219A4D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CD69D9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e)</w:t>
      </w:r>
      <w:r>
        <w:rPr>
          <w:rFonts w:cs="Calibri"/>
        </w:rPr>
        <w:t xml:space="preserve"> Patrimonio de Organismos Descentralizados de control Presupuestario Directo, según corresponda:</w:t>
      </w:r>
    </w:p>
    <w:p w14:paraId="50683B2A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  <w:u w:val="single"/>
        </w:rPr>
      </w:pPr>
      <w:r>
        <w:rPr>
          <w:rFonts w:cs="Calibri"/>
          <w:u w:val="single"/>
        </w:rPr>
        <w:t>No aplica</w:t>
      </w:r>
    </w:p>
    <w:p w14:paraId="49B2929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2AED757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7" w:name="_Toc181100313"/>
      <w:r>
        <w:rPr>
          <w:rFonts w:asciiTheme="minorHAnsi" w:hAnsiTheme="minorHAnsi" w:cstheme="minorHAnsi"/>
          <w:b/>
          <w:color w:val="auto"/>
          <w:sz w:val="22"/>
        </w:rPr>
        <w:t>8. Fideicomisos, Mandatos y Análogos:</w:t>
      </w:r>
      <w:bookmarkEnd w:id="7"/>
    </w:p>
    <w:p w14:paraId="688803B0" w14:textId="77777777" w:rsidR="000711EF" w:rsidRDefault="00827B84">
      <w:pPr>
        <w:rPr>
          <w:u w:val="single"/>
        </w:rPr>
      </w:pPr>
      <w:r>
        <w:rPr>
          <w:u w:val="single"/>
        </w:rPr>
        <w:t>Esta nota no aplica al ente público, no se cuenta con fideicomisos, mandatos y análogos.</w:t>
      </w:r>
    </w:p>
    <w:p w14:paraId="4502640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7C472B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deberá informar:</w:t>
      </w:r>
    </w:p>
    <w:p w14:paraId="1672320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5F5CB9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Por ramo administrativo que los reporta:</w:t>
      </w:r>
    </w:p>
    <w:p w14:paraId="319087F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0BE0C3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Enlistar los de mayor monto de disponibilidad, relacionando aquéllos que conforman el 80% de las disponibilidades:</w:t>
      </w:r>
    </w:p>
    <w:p w14:paraId="65E6835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74ACFF7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8" w:name="_Toc181100314"/>
      <w:r>
        <w:rPr>
          <w:rFonts w:asciiTheme="minorHAnsi" w:hAnsiTheme="minorHAnsi" w:cstheme="minorHAnsi"/>
          <w:b/>
          <w:color w:val="auto"/>
          <w:sz w:val="22"/>
        </w:rPr>
        <w:t>9. Reporte de la Recaudación:</w:t>
      </w:r>
      <w:bookmarkEnd w:id="8"/>
    </w:p>
    <w:p w14:paraId="6C192B9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CAB340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Análisis del comportamiento de la recaudación correspondi</w:t>
      </w:r>
      <w:r>
        <w:rPr>
          <w:rFonts w:cs="Calibri"/>
        </w:rPr>
        <w:t>ente al ente público o cualquier tipo de ingreso, de forma separada los ingresos locales de los federales:</w:t>
      </w:r>
    </w:p>
    <w:p w14:paraId="6EF7AC1C" w14:textId="16EB78D5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 xml:space="preserve">Se presenta los ingresos del </w:t>
      </w:r>
      <w:r w:rsidR="00587F7B">
        <w:rPr>
          <w:rFonts w:cs="Calibri"/>
        </w:rPr>
        <w:t>enero a marzo 2026</w:t>
      </w:r>
    </w:p>
    <w:p w14:paraId="2E929786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8CBB224" w14:textId="148160B3" w:rsidR="000711EF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2F7FBA" wp14:editId="4CD9B629">
            <wp:simplePos x="0" y="0"/>
            <wp:positionH relativeFrom="column">
              <wp:posOffset>52070</wp:posOffset>
            </wp:positionH>
            <wp:positionV relativeFrom="paragraph">
              <wp:posOffset>6350</wp:posOffset>
            </wp:positionV>
            <wp:extent cx="4932502" cy="1809750"/>
            <wp:effectExtent l="0" t="0" r="190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69" t="20361" r="44441" b="48335"/>
                    <a:stretch/>
                  </pic:blipFill>
                  <pic:spPr bwMode="auto">
                    <a:xfrm>
                      <a:off x="0" y="0"/>
                      <a:ext cx="4962162" cy="1820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DED56" w14:textId="71571A76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F06E969" w14:textId="746CC97F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73553EF" w14:textId="2D6F02F4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3E1DC2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6AC7A652" w14:textId="395644CE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3D9A6602" w14:textId="3827A0EF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6355C318" w14:textId="6C2A5A7D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2FDE6765" w14:textId="02315C72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3AB43138" w14:textId="2DD106D7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47003A40" w14:textId="6EC7826A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76E2FC30" w14:textId="77777777" w:rsidR="00587F7B" w:rsidRDefault="00587F7B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</w:p>
    <w:p w14:paraId="0844960C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Proyección de la recaudación e ingresos en el mediano plazo:</w:t>
      </w:r>
    </w:p>
    <w:p w14:paraId="4A3D0062" w14:textId="0341294B" w:rsidR="000711EF" w:rsidRDefault="000711EF">
      <w:pPr>
        <w:tabs>
          <w:tab w:val="left" w:leader="underscore" w:pos="9639"/>
        </w:tabs>
        <w:spacing w:after="0" w:line="240" w:lineRule="auto"/>
        <w:jc w:val="both"/>
      </w:pPr>
    </w:p>
    <w:p w14:paraId="3EC7B274" w14:textId="01754137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</w:p>
    <w:p w14:paraId="7866E863" w14:textId="36F4C90C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A420924" wp14:editId="67D1A0DB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629150" cy="390975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0707" r="54170" b="8378"/>
                    <a:stretch/>
                  </pic:blipFill>
                  <pic:spPr bwMode="auto">
                    <a:xfrm>
                      <a:off x="0" y="0"/>
                      <a:ext cx="4629150" cy="390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B2432" w14:textId="77777777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</w:p>
    <w:p w14:paraId="4C095C71" w14:textId="39707BE4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</w:p>
    <w:p w14:paraId="20CDA250" w14:textId="5F4D63A6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</w:p>
    <w:p w14:paraId="101C0138" w14:textId="77777777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noProof/>
        </w:rPr>
      </w:pPr>
    </w:p>
    <w:p w14:paraId="21448805" w14:textId="0BD89D6C" w:rsidR="000711EF" w:rsidRDefault="00587F7B">
      <w:pPr>
        <w:tabs>
          <w:tab w:val="left" w:leader="underscore" w:pos="9639"/>
        </w:tabs>
        <w:spacing w:after="0" w:line="240" w:lineRule="auto"/>
        <w:jc w:val="both"/>
      </w:pPr>
      <w:r>
        <w:br w:type="textWrapping" w:clear="all"/>
      </w:r>
    </w:p>
    <w:p w14:paraId="5D22E82E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F3207A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D5D3EF4" w14:textId="49E80D1B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64BA457" w14:textId="6F12D453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0686E23" w14:textId="4C61988C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72621D4" w14:textId="4170AC5A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A90CFC4" w14:textId="785FC8C5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DA62EF9" w14:textId="06987596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1E3B5A4" w14:textId="5C41487D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F86CF02" w14:textId="310F2DE9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E610967" w14:textId="466BB8AE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D98CE0B" w14:textId="77777777" w:rsidR="00176C5A" w:rsidRDefault="00176C5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CF08A01" w14:textId="77777777" w:rsidR="00176C5A" w:rsidRDefault="00176C5A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9" w:name="_Toc181100315"/>
    </w:p>
    <w:p w14:paraId="73915F5B" w14:textId="77777777" w:rsidR="00176C5A" w:rsidRDefault="00176C5A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58485527" w14:textId="77777777" w:rsidR="00176C5A" w:rsidRDefault="00176C5A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5C958574" w14:textId="77777777" w:rsidR="00176C5A" w:rsidRDefault="00176C5A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44240CB9" w14:textId="77777777" w:rsidR="00176C5A" w:rsidRDefault="00176C5A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5D44FEF0" w14:textId="6F2D9E6F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10. Información sobre la Deuda y el Reporte Analítico de la Deuda:</w:t>
      </w:r>
      <w:bookmarkEnd w:id="9"/>
    </w:p>
    <w:p w14:paraId="3AF53765" w14:textId="77777777" w:rsidR="000711EF" w:rsidRDefault="00827B84">
      <w:pPr>
        <w:rPr>
          <w:u w:val="single"/>
        </w:rPr>
      </w:pPr>
      <w:r>
        <w:rPr>
          <w:u w:val="single"/>
        </w:rPr>
        <w:t>Esta nota no aplica al ente público, no se cuenta con deuda pública.</w:t>
      </w:r>
    </w:p>
    <w:p w14:paraId="6C5B015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A4F7D2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lastRenderedPageBreak/>
        <w:t>a)</w:t>
      </w:r>
      <w:r>
        <w:rPr>
          <w:rFonts w:cs="Calibri"/>
        </w:rPr>
        <w:t xml:space="preserve"> Utilizar al menos los siguientes indicadores: de</w:t>
      </w:r>
      <w:r>
        <w:rPr>
          <w:rFonts w:cs="Calibri"/>
        </w:rPr>
        <w:t>uda respecto al PIB y deuda respecto a la recaudación tomando, como mínimo, un período igual o menor a 5 años.</w:t>
      </w:r>
    </w:p>
    <w:p w14:paraId="56807E6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A7E3BC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Información de manera agrupada por tipo de valor gubernamental o instrumento financiero en la que se consideren intereses, comisiones, tasa, </w:t>
      </w:r>
      <w:r>
        <w:rPr>
          <w:rFonts w:cs="Calibri"/>
        </w:rPr>
        <w:t>perfil de vencimiento y otros gastos de la deuda.</w:t>
      </w:r>
    </w:p>
    <w:p w14:paraId="77C79BD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* Se anexará la información en las notas de desglose.</w:t>
      </w:r>
    </w:p>
    <w:p w14:paraId="3FB1F4C0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907306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3D8EAA3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0" w:name="_Toc181100316"/>
      <w:r>
        <w:rPr>
          <w:rFonts w:asciiTheme="minorHAnsi" w:hAnsiTheme="minorHAnsi" w:cstheme="minorHAnsi"/>
          <w:b/>
          <w:color w:val="auto"/>
          <w:sz w:val="22"/>
        </w:rPr>
        <w:t>11. Calificaciones otorgadas:</w:t>
      </w:r>
      <w:bookmarkEnd w:id="10"/>
    </w:p>
    <w:p w14:paraId="03AE356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D4451A4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Informar, tanto del ente público como cualquier transacción realizada, que haya sido sujeta a una calificación creditic</w:t>
      </w:r>
      <w:r>
        <w:rPr>
          <w:rFonts w:cs="Calibri"/>
        </w:rPr>
        <w:t>ia:</w:t>
      </w:r>
    </w:p>
    <w:p w14:paraId="50FCDF8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Esta nota no aplica al ente público, no se ha sido sujeto para calificaciones crediticias.</w:t>
      </w:r>
    </w:p>
    <w:p w14:paraId="101783C1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1262A73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1" w:name="_Toc181100317"/>
      <w:r>
        <w:rPr>
          <w:rFonts w:asciiTheme="minorHAnsi" w:hAnsiTheme="minorHAnsi" w:cstheme="minorHAnsi"/>
          <w:b/>
          <w:color w:val="auto"/>
          <w:sz w:val="22"/>
        </w:rPr>
        <w:t>12. Proceso de Mejora:</w:t>
      </w:r>
      <w:bookmarkEnd w:id="11"/>
    </w:p>
    <w:p w14:paraId="6037657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83CE225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 informará de:</w:t>
      </w:r>
    </w:p>
    <w:p w14:paraId="62BC83B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515573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a)</w:t>
      </w:r>
      <w:r>
        <w:rPr>
          <w:rFonts w:cs="Calibri"/>
        </w:rPr>
        <w:t xml:space="preserve"> Principales Políticas de control interno:</w:t>
      </w:r>
    </w:p>
    <w:p w14:paraId="4EBF0BF4" w14:textId="77777777" w:rsidR="000711EF" w:rsidRDefault="00827B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aplican los Lineamientos Generales de Racionalidad, </w:t>
      </w:r>
      <w:r>
        <w:rPr>
          <w:rFonts w:ascii="Arial" w:hAnsi="Arial" w:cs="Arial"/>
          <w:sz w:val="20"/>
          <w:szCs w:val="20"/>
        </w:rPr>
        <w:t>Austeridad, Disciplina y Ejercicio Presupuestal del Instituto, Condiciones Generales aplicables al Instituto, Disposiciones Internas para la prestación de servicio médico aplicables al personal del Instituto.</w:t>
      </w:r>
    </w:p>
    <w:p w14:paraId="123A73F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77FD33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b)</w:t>
      </w:r>
      <w:r>
        <w:rPr>
          <w:rFonts w:cs="Calibri"/>
        </w:rPr>
        <w:t xml:space="preserve"> Medidas de desempeño financiero, metas y al</w:t>
      </w:r>
      <w:r>
        <w:rPr>
          <w:rFonts w:cs="Calibri"/>
        </w:rPr>
        <w:t>cance:</w:t>
      </w:r>
    </w:p>
    <w:p w14:paraId="2DD81624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5D63F64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74AB0C7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2" w:name="_Toc181100318"/>
      <w:r>
        <w:rPr>
          <w:rFonts w:asciiTheme="minorHAnsi" w:hAnsiTheme="minorHAnsi" w:cstheme="minorHAnsi"/>
          <w:b/>
          <w:color w:val="auto"/>
          <w:sz w:val="22"/>
        </w:rPr>
        <w:t>13. Información por Segmentos:</w:t>
      </w:r>
      <w:bookmarkEnd w:id="12"/>
    </w:p>
    <w:p w14:paraId="276C86C7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97B5AE3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Cuando se considere necesario se podrá revelar la información financiera de manera segmentada debido a la diversidad de las actividades y operaciones que realizan los entes públicos, ya que la misma proporciona info</w:t>
      </w:r>
      <w:r>
        <w:rPr>
          <w:rFonts w:cs="Calibri"/>
        </w:rPr>
        <w:t>rmación acerca de las diferentes actividades operativas en las cuales participa, de los productos o servicios que maneja, de las diferentes áreas geográficas, de los grupos homogéneos con el objetivo de entender el desempeño del ente, evaluar mejor los rie</w:t>
      </w:r>
      <w:r>
        <w:rPr>
          <w:rFonts w:cs="Calibri"/>
        </w:rPr>
        <w:t>sgos y beneficios del mismo, y entenderlo como un todo y sus partes integrantes.</w:t>
      </w:r>
    </w:p>
    <w:p w14:paraId="5C5A5AB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1578E7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Consecuentemente, esta información contribuye al análisis más preciso de la situación financiera, grados y fuentes de riesgo y crecimiento potencial de negocio.</w:t>
      </w:r>
    </w:p>
    <w:p w14:paraId="6701B04A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6D4FC25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3D9FB8B" w14:textId="77777777" w:rsidR="000711EF" w:rsidRDefault="000711EF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0C93F71D" w14:textId="77777777" w:rsidR="000711EF" w:rsidRDefault="000711EF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</w:p>
    <w:p w14:paraId="237BD181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3" w:name="_Toc181100319"/>
      <w:r>
        <w:rPr>
          <w:rFonts w:asciiTheme="minorHAnsi" w:hAnsiTheme="minorHAnsi" w:cstheme="minorHAnsi"/>
          <w:b/>
          <w:color w:val="auto"/>
          <w:sz w:val="22"/>
        </w:rPr>
        <w:t>14. Event</w:t>
      </w:r>
      <w:r>
        <w:rPr>
          <w:rFonts w:asciiTheme="minorHAnsi" w:hAnsiTheme="minorHAnsi" w:cstheme="minorHAnsi"/>
          <w:b/>
          <w:color w:val="auto"/>
          <w:sz w:val="22"/>
        </w:rPr>
        <w:t>os Posteriores al Cierre:</w:t>
      </w:r>
      <w:bookmarkEnd w:id="13"/>
    </w:p>
    <w:p w14:paraId="6020FDA8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CAFEDEB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El ente público informará el efecto en sus estados financieros de aquellos hechos ocurridos en el período posterior al que informa, que proporcionan mayor evidencia sobre eventos que le afectan económicamente y que no se conocían</w:t>
      </w:r>
      <w:r>
        <w:rPr>
          <w:rFonts w:cs="Calibri"/>
        </w:rPr>
        <w:t xml:space="preserve"> a la fecha de cierre.</w:t>
      </w:r>
    </w:p>
    <w:p w14:paraId="3447530C" w14:textId="1568C482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No se han realizado registros posteriores al cierre</w:t>
      </w:r>
      <w:r>
        <w:rPr>
          <w:rFonts w:cs="Calibri"/>
        </w:rPr>
        <w:t>.</w:t>
      </w:r>
      <w:r>
        <w:rPr>
          <w:rFonts w:cs="Calibri"/>
        </w:rPr>
        <w:cr/>
      </w:r>
    </w:p>
    <w:p w14:paraId="2F49C4C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15. Partes Relacionadas:</w:t>
      </w:r>
    </w:p>
    <w:p w14:paraId="3C0FFDAF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C83FD29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Se debe establecer por escrito que no existen partes relacionadas que pudieran ejercer influencia significativa sobre la toma de </w:t>
      </w:r>
      <w:r>
        <w:rPr>
          <w:rFonts w:cs="Calibri"/>
        </w:rPr>
        <w:t>decisiones financieras y operativas:</w:t>
      </w:r>
    </w:p>
    <w:p w14:paraId="7E93FEE2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Esta nota no aplica al ente público, no se cuenta con partes relacionadas.</w:t>
      </w:r>
    </w:p>
    <w:p w14:paraId="0EA6210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64D1BC7" w14:textId="77777777" w:rsidR="000711EF" w:rsidRDefault="00827B84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4" w:name="_Toc181100320"/>
      <w:r>
        <w:rPr>
          <w:rFonts w:asciiTheme="minorHAnsi" w:hAnsiTheme="minorHAnsi" w:cstheme="minorHAnsi"/>
          <w:b/>
          <w:color w:val="auto"/>
          <w:sz w:val="22"/>
        </w:rPr>
        <w:t>16. Responsabilidad Sobre la Presentación Razonable de la Información Contable:</w:t>
      </w:r>
      <w:bookmarkEnd w:id="14"/>
    </w:p>
    <w:p w14:paraId="272F50CD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D3B8217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La Información Contable deberá estar firmada en cada página de</w:t>
      </w:r>
      <w:r>
        <w:rPr>
          <w:rFonts w:cs="Calibri"/>
        </w:rPr>
        <w:t xml:space="preserve"> la misma e incluir al final la siguiente leyenda: “Bajo protesta de decir verdad declaramos que los Estados Financieros y sus notas, son razonablemente correctos y son responsabilidad del emisor”. Lo anterior, no será aplicable para la información contabl</w:t>
      </w:r>
      <w:r>
        <w:rPr>
          <w:rFonts w:cs="Calibri"/>
        </w:rPr>
        <w:t>e consolidada.</w:t>
      </w:r>
    </w:p>
    <w:p w14:paraId="4EFAA058" w14:textId="77777777" w:rsidR="000711EF" w:rsidRDefault="000711EF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FE630B3" w14:textId="77777777" w:rsidR="000711EF" w:rsidRDefault="000711EF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CE72FF9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28417F" w14:textId="77777777" w:rsidR="000711EF" w:rsidRDefault="00827B84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Nota 1</w:t>
      </w:r>
      <w:r>
        <w:rPr>
          <w:rFonts w:asciiTheme="minorHAnsi" w:hAnsiTheme="minorHAnsi" w:cstheme="minorHAnsi"/>
          <w:sz w:val="24"/>
          <w:szCs w:val="24"/>
        </w:rPr>
        <w:t>: En cada una de las 15 notas de gestión administrativa el ente público deberá poner la nota correspondiente o en su caso la leyenda “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Esta nota no le aplica al ente público” y una breve explicación del motivo por el cual no le es </w:t>
      </w:r>
      <w:r>
        <w:rPr>
          <w:rFonts w:asciiTheme="minorHAnsi" w:hAnsiTheme="minorHAnsi" w:cstheme="minorHAnsi"/>
          <w:b/>
          <w:bCs/>
          <w:sz w:val="24"/>
          <w:szCs w:val="24"/>
        </w:rPr>
        <w:t>aplicable</w:t>
      </w:r>
      <w:r>
        <w:rPr>
          <w:rFonts w:asciiTheme="minorHAnsi" w:hAnsiTheme="minorHAnsi" w:cstheme="minorHAnsi"/>
          <w:sz w:val="24"/>
          <w:szCs w:val="24"/>
        </w:rPr>
        <w:t>. 06-12-2022</w:t>
      </w:r>
    </w:p>
    <w:p w14:paraId="7F655709" w14:textId="77777777" w:rsidR="000711EF" w:rsidRDefault="000711EF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DC8F36C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12F5983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089EA5B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0"/>
      </w:tblGrid>
      <w:tr w:rsidR="000711EF" w14:paraId="54BFEFD2" w14:textId="77777777">
        <w:trPr>
          <w:trHeight w:val="225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070E2" w14:textId="77777777" w:rsidR="000711EF" w:rsidRDefault="00071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  <w:p w14:paraId="54278769" w14:textId="77777777" w:rsidR="000711EF" w:rsidRDefault="00071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  <w:p w14:paraId="0B82A3E9" w14:textId="77777777" w:rsidR="000711EF" w:rsidRDefault="00071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  <w:p w14:paraId="2DD6D02D" w14:textId="77777777" w:rsidR="000711EF" w:rsidRDefault="00071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  <w:p w14:paraId="24FD2079" w14:textId="77777777" w:rsidR="000711EF" w:rsidRDefault="00071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  <w:p w14:paraId="1DD3786F" w14:textId="77777777" w:rsidR="000711EF" w:rsidRDefault="00827B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LIC. JOSÉ FRANCISCO GONZÁLEZ RODRÍGUEZ</w:t>
            </w:r>
          </w:p>
        </w:tc>
      </w:tr>
      <w:tr w:rsidR="000711EF" w14:paraId="2176C6E2" w14:textId="77777777">
        <w:trPr>
          <w:trHeight w:val="225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03FA7" w14:textId="77777777" w:rsidR="000711EF" w:rsidRDefault="00827B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DIRECTOR DEL IMUVI</w:t>
            </w:r>
          </w:p>
        </w:tc>
      </w:tr>
    </w:tbl>
    <w:p w14:paraId="64B87E14" w14:textId="77777777" w:rsidR="000711EF" w:rsidRDefault="000711E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sectPr w:rsidR="000711EF">
      <w:headerReference w:type="default" r:id="rId15"/>
      <w:footerReference w:type="default" r:id="rId16"/>
      <w:pgSz w:w="12240" w:h="15840"/>
      <w:pgMar w:top="1418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562B3" w14:textId="77777777" w:rsidR="00827B84" w:rsidRDefault="00827B84">
      <w:pPr>
        <w:spacing w:line="240" w:lineRule="auto"/>
      </w:pPr>
      <w:r>
        <w:separator/>
      </w:r>
    </w:p>
  </w:endnote>
  <w:endnote w:type="continuationSeparator" w:id="0">
    <w:p w14:paraId="114C6A67" w14:textId="77777777" w:rsidR="00827B84" w:rsidRDefault="00827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4267310"/>
    </w:sdtPr>
    <w:sdtEndPr/>
    <w:sdtContent>
      <w:p w14:paraId="66C9EB69" w14:textId="77777777" w:rsidR="000711EF" w:rsidRDefault="00827B8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1</w:t>
        </w:r>
        <w:r>
          <w:fldChar w:fldCharType="end"/>
        </w:r>
      </w:p>
    </w:sdtContent>
  </w:sdt>
  <w:p w14:paraId="6B5911C1" w14:textId="77777777" w:rsidR="000711EF" w:rsidRDefault="000711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09800" w14:textId="77777777" w:rsidR="00827B84" w:rsidRDefault="00827B84">
      <w:pPr>
        <w:spacing w:after="0"/>
      </w:pPr>
      <w:r>
        <w:separator/>
      </w:r>
    </w:p>
  </w:footnote>
  <w:footnote w:type="continuationSeparator" w:id="0">
    <w:p w14:paraId="799751AD" w14:textId="77777777" w:rsidR="00827B84" w:rsidRDefault="00827B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AC490" w14:textId="77777777" w:rsidR="000711EF" w:rsidRDefault="00827B84">
    <w:pPr>
      <w:pStyle w:val="Encabezado"/>
      <w:spacing w:after="0" w:line="240" w:lineRule="auto"/>
      <w:jc w:val="center"/>
    </w:pPr>
    <w:r>
      <w:t xml:space="preserve">Instituto Municipal de Vivienda de Dolores Hidalgo, </w:t>
    </w:r>
    <w:proofErr w:type="spellStart"/>
    <w:r>
      <w:t>Gto</w:t>
    </w:r>
    <w:proofErr w:type="spellEnd"/>
    <w:r>
      <w:t>.</w:t>
    </w:r>
  </w:p>
  <w:p w14:paraId="29A4D2B3" w14:textId="0CF3C1EC" w:rsidR="000711EF" w:rsidRDefault="00827B84">
    <w:pPr>
      <w:pStyle w:val="Encabezado"/>
      <w:spacing w:after="0" w:line="240" w:lineRule="auto"/>
      <w:jc w:val="center"/>
    </w:pPr>
    <w:r>
      <w:t xml:space="preserve">CORRESPONDIENTES AL </w:t>
    </w:r>
    <w:r>
      <w:t xml:space="preserve">31 </w:t>
    </w:r>
    <w:r w:rsidR="00587F7B">
      <w:t>MARZO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A246B"/>
    <w:multiLevelType w:val="multilevel"/>
    <w:tmpl w:val="572A246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E76"/>
    <w:rsid w:val="000310EF"/>
    <w:rsid w:val="00040D4F"/>
    <w:rsid w:val="00050D16"/>
    <w:rsid w:val="000711EF"/>
    <w:rsid w:val="00084EAE"/>
    <w:rsid w:val="00091CE6"/>
    <w:rsid w:val="000B7810"/>
    <w:rsid w:val="000C3365"/>
    <w:rsid w:val="000C700C"/>
    <w:rsid w:val="00106EE9"/>
    <w:rsid w:val="0012405A"/>
    <w:rsid w:val="0012493A"/>
    <w:rsid w:val="00154BA3"/>
    <w:rsid w:val="00176C5A"/>
    <w:rsid w:val="001973A2"/>
    <w:rsid w:val="001C34BC"/>
    <w:rsid w:val="001C710C"/>
    <w:rsid w:val="001C75F2"/>
    <w:rsid w:val="001D2063"/>
    <w:rsid w:val="001D43E9"/>
    <w:rsid w:val="00231FBE"/>
    <w:rsid w:val="00232175"/>
    <w:rsid w:val="0024740E"/>
    <w:rsid w:val="002722DD"/>
    <w:rsid w:val="00295B2C"/>
    <w:rsid w:val="00295B72"/>
    <w:rsid w:val="002A28DC"/>
    <w:rsid w:val="002E03A8"/>
    <w:rsid w:val="002E2743"/>
    <w:rsid w:val="002F6870"/>
    <w:rsid w:val="003453CA"/>
    <w:rsid w:val="00396D53"/>
    <w:rsid w:val="003A3E55"/>
    <w:rsid w:val="003E6C64"/>
    <w:rsid w:val="0043078C"/>
    <w:rsid w:val="00435A87"/>
    <w:rsid w:val="00472172"/>
    <w:rsid w:val="00493C57"/>
    <w:rsid w:val="004A1077"/>
    <w:rsid w:val="004A58C8"/>
    <w:rsid w:val="004B5A1A"/>
    <w:rsid w:val="004C0AE9"/>
    <w:rsid w:val="004C6639"/>
    <w:rsid w:val="004F234D"/>
    <w:rsid w:val="004F6FAC"/>
    <w:rsid w:val="005053EE"/>
    <w:rsid w:val="00516100"/>
    <w:rsid w:val="00516A8F"/>
    <w:rsid w:val="00540261"/>
    <w:rsid w:val="0054701E"/>
    <w:rsid w:val="00574866"/>
    <w:rsid w:val="00587F7B"/>
    <w:rsid w:val="005930CE"/>
    <w:rsid w:val="005B5531"/>
    <w:rsid w:val="005D3E43"/>
    <w:rsid w:val="005D7032"/>
    <w:rsid w:val="005E231E"/>
    <w:rsid w:val="005E79FC"/>
    <w:rsid w:val="005F2900"/>
    <w:rsid w:val="005F51CC"/>
    <w:rsid w:val="0062271A"/>
    <w:rsid w:val="0064059E"/>
    <w:rsid w:val="00644890"/>
    <w:rsid w:val="00657009"/>
    <w:rsid w:val="00665992"/>
    <w:rsid w:val="006738BB"/>
    <w:rsid w:val="00681C79"/>
    <w:rsid w:val="006A2025"/>
    <w:rsid w:val="006B1ADF"/>
    <w:rsid w:val="006F0687"/>
    <w:rsid w:val="006F77A8"/>
    <w:rsid w:val="007610BC"/>
    <w:rsid w:val="007714AB"/>
    <w:rsid w:val="007A27CF"/>
    <w:rsid w:val="007D1E76"/>
    <w:rsid w:val="007D4484"/>
    <w:rsid w:val="007E271E"/>
    <w:rsid w:val="007E38A2"/>
    <w:rsid w:val="007F699D"/>
    <w:rsid w:val="00806269"/>
    <w:rsid w:val="00827B84"/>
    <w:rsid w:val="00856E5C"/>
    <w:rsid w:val="0086420E"/>
    <w:rsid w:val="0086459F"/>
    <w:rsid w:val="0088655B"/>
    <w:rsid w:val="008C219E"/>
    <w:rsid w:val="008C3BB8"/>
    <w:rsid w:val="008E076C"/>
    <w:rsid w:val="008F110F"/>
    <w:rsid w:val="0092765C"/>
    <w:rsid w:val="009277A7"/>
    <w:rsid w:val="0094630B"/>
    <w:rsid w:val="00967DDA"/>
    <w:rsid w:val="009736CB"/>
    <w:rsid w:val="00A4610E"/>
    <w:rsid w:val="00A6346D"/>
    <w:rsid w:val="00A730E0"/>
    <w:rsid w:val="00A97B0C"/>
    <w:rsid w:val="00AA2768"/>
    <w:rsid w:val="00AA287E"/>
    <w:rsid w:val="00AA41E5"/>
    <w:rsid w:val="00AB722B"/>
    <w:rsid w:val="00AE1F6A"/>
    <w:rsid w:val="00AF4375"/>
    <w:rsid w:val="00B073DE"/>
    <w:rsid w:val="00B1493B"/>
    <w:rsid w:val="00B6368B"/>
    <w:rsid w:val="00B64800"/>
    <w:rsid w:val="00B910F4"/>
    <w:rsid w:val="00BA53FE"/>
    <w:rsid w:val="00BD22E0"/>
    <w:rsid w:val="00BE02EB"/>
    <w:rsid w:val="00C4250B"/>
    <w:rsid w:val="00C4625D"/>
    <w:rsid w:val="00C54C12"/>
    <w:rsid w:val="00C93C67"/>
    <w:rsid w:val="00C97E1E"/>
    <w:rsid w:val="00CB41C4"/>
    <w:rsid w:val="00CF1316"/>
    <w:rsid w:val="00D13C44"/>
    <w:rsid w:val="00D15823"/>
    <w:rsid w:val="00D32331"/>
    <w:rsid w:val="00D403A0"/>
    <w:rsid w:val="00D40FC2"/>
    <w:rsid w:val="00D5018E"/>
    <w:rsid w:val="00D546B2"/>
    <w:rsid w:val="00D560D3"/>
    <w:rsid w:val="00D975B1"/>
    <w:rsid w:val="00DB5C34"/>
    <w:rsid w:val="00DC7005"/>
    <w:rsid w:val="00DD018C"/>
    <w:rsid w:val="00E00323"/>
    <w:rsid w:val="00E11758"/>
    <w:rsid w:val="00E74967"/>
    <w:rsid w:val="00E7559F"/>
    <w:rsid w:val="00E85520"/>
    <w:rsid w:val="00E9132F"/>
    <w:rsid w:val="00EA37F5"/>
    <w:rsid w:val="00EA7915"/>
    <w:rsid w:val="00EC2798"/>
    <w:rsid w:val="00ED7AA0"/>
    <w:rsid w:val="00F067C8"/>
    <w:rsid w:val="00F1079A"/>
    <w:rsid w:val="00F358EF"/>
    <w:rsid w:val="00F43AC5"/>
    <w:rsid w:val="00F46719"/>
    <w:rsid w:val="00F536FA"/>
    <w:rsid w:val="00F54F6F"/>
    <w:rsid w:val="00F6102D"/>
    <w:rsid w:val="00F65A92"/>
    <w:rsid w:val="00F6759B"/>
    <w:rsid w:val="00FC1AE8"/>
    <w:rsid w:val="0A44332E"/>
    <w:rsid w:val="11BD75AA"/>
    <w:rsid w:val="24355CA5"/>
    <w:rsid w:val="30981075"/>
    <w:rsid w:val="3614463B"/>
    <w:rsid w:val="37CB2560"/>
    <w:rsid w:val="3E097BC7"/>
    <w:rsid w:val="471D77D7"/>
    <w:rsid w:val="52772C45"/>
    <w:rsid w:val="620864D7"/>
    <w:rsid w:val="752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95E9"/>
  <w15:docId w15:val="{203F1346-B428-42FC-A690-8BC47570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qFormat/>
    <w:rPr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qFormat/>
    <w:rPr>
      <w:sz w:val="22"/>
      <w:szCs w:val="22"/>
      <w:lang w:eastAsia="en-US"/>
    </w:rPr>
  </w:style>
  <w:style w:type="character" w:customStyle="1" w:styleId="TextodegloboCar">
    <w:name w:val="Texto de globo Car"/>
    <w:link w:val="Textodeglobo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TtuloTDC1">
    <w:name w:val="Título TDC1"/>
    <w:basedOn w:val="Ttulo1"/>
    <w:next w:val="Normal"/>
    <w:uiPriority w:val="39"/>
    <w:unhideWhenUsed/>
    <w:qFormat/>
    <w:pPr>
      <w:spacing w:line="259" w:lineRule="auto"/>
      <w:outlineLvl w:val="9"/>
    </w:pPr>
    <w:rPr>
      <w:lang w:eastAsia="es-MX"/>
    </w:rPr>
  </w:style>
  <w:style w:type="paragraph" w:customStyle="1" w:styleId="Texto">
    <w:name w:val="Texto"/>
    <w:basedOn w:val="Normal"/>
    <w:link w:val="TextoCar"/>
    <w:qFormat/>
    <w:pPr>
      <w:spacing w:after="101" w:line="216" w:lineRule="exact"/>
      <w:ind w:firstLine="288"/>
      <w:jc w:val="both"/>
    </w:pPr>
    <w:rPr>
      <w:rFonts w:ascii="Arial" w:eastAsia="Times New Roman" w:hAnsi="Arial"/>
      <w:sz w:val="18"/>
      <w:szCs w:val="20"/>
      <w:lang w:val="es-ES" w:eastAsia="es-ES"/>
    </w:rPr>
  </w:style>
  <w:style w:type="character" w:customStyle="1" w:styleId="TextoCar">
    <w:name w:val="Texto Car"/>
    <w:link w:val="Texto"/>
    <w:qFormat/>
    <w:locked/>
    <w:rPr>
      <w:rFonts w:ascii="Arial" w:eastAsia="Times New Roman" w:hAnsi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acorona/lquiroz/AppData/Local/Microsoft/Windows/Temporary%20Internet%20Files/Content.Outlook/HBGSO9P3/MODELO%20CTA%202013.ppt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true</_x00bf_Formatomodificado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9A76F-91F0-43D2-8081-B4DC470C2F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CBD850-722C-4B0A-8EDE-7CABA60C709E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F602599E-C54E-40EB-B3BD-41B2F70A96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B9485-7FE9-43F0-809A-30EC26A19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3151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acorona</dc:creator>
  <cp:lastModifiedBy>PC</cp:lastModifiedBy>
  <cp:revision>92</cp:revision>
  <cp:lastPrinted>2026-01-29T17:06:00Z</cp:lastPrinted>
  <dcterms:created xsi:type="dcterms:W3CDTF">2017-01-12T05:27:00Z</dcterms:created>
  <dcterms:modified xsi:type="dcterms:W3CDTF">2026-04-28T18:48:00Z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  <property fmtid="{D5CDD505-2E9C-101B-9397-08002B2CF9AE}" pid="3" name="KSOProductBuildVer">
    <vt:lpwstr>2058-12.2.0.23196</vt:lpwstr>
  </property>
  <property fmtid="{D5CDD505-2E9C-101B-9397-08002B2CF9AE}" pid="4" name="ICV">
    <vt:lpwstr>2C3826E5360A46E68353B28E0C14A88C_12</vt:lpwstr>
  </property>
</Properties>
</file>