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2B95" w14:textId="62DCBFCB" w:rsidR="00517727" w:rsidRPr="009B0185" w:rsidRDefault="007F62B2" w:rsidP="007F62B2">
      <w:pPr>
        <w:jc w:val="both"/>
        <w:rPr>
          <w:rFonts w:ascii="Maiandra GD" w:hAnsi="Maiandra GD"/>
          <w:b/>
          <w:bCs/>
          <w:color w:val="60CAF3" w:themeColor="accent4" w:themeTint="99"/>
          <w:sz w:val="36"/>
          <w:szCs w:val="36"/>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pPr>
      <w:r w:rsidRPr="007F62B2">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 xml:space="preserve">DIap. # </w:t>
      </w:r>
      <w:r>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1</w:t>
      </w:r>
      <w:r>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ab/>
        <w:t>Las Barcas de Galilea</w:t>
      </w:r>
      <w:r w:rsidRPr="009B0185">
        <w:rPr>
          <w:rFonts w:ascii="Maiandra GD" w:hAnsi="Maiandra GD"/>
          <w:b/>
          <w:bCs/>
          <w:color w:val="C00000"/>
          <w:sz w:val="36"/>
          <w:szCs w:val="36"/>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ab/>
      </w:r>
    </w:p>
    <w:p w14:paraId="1FB301BC" w14:textId="4BE3DFDC" w:rsidR="006005B2" w:rsidRPr="009B0185" w:rsidRDefault="00814258" w:rsidP="00814258">
      <w:pPr>
        <w:jc w:val="both"/>
        <w:rPr>
          <w:rFonts w:ascii="Maiandra GD" w:hAnsi="Maiandra GD"/>
          <w:b/>
          <w:bCs/>
          <w:color w:val="60CAF3" w:themeColor="accent4" w:themeTint="99"/>
          <w:sz w:val="36"/>
          <w:szCs w:val="36"/>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pPr>
      <w:r w:rsidRPr="007F62B2">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DIap. # 2</w:t>
      </w:r>
      <w:r w:rsidRPr="009B0185">
        <w:rPr>
          <w:rFonts w:ascii="Maiandra GD" w:hAnsi="Maiandra GD"/>
          <w:b/>
          <w:bCs/>
          <w:color w:val="C00000"/>
          <w:sz w:val="36"/>
          <w:szCs w:val="36"/>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ab/>
      </w:r>
      <w:r w:rsidR="006005B2" w:rsidRPr="009B0185">
        <w:rPr>
          <w:rFonts w:ascii="Maiandra GD" w:hAnsi="Maiandra GD"/>
          <w:b/>
          <w:bCs/>
          <w:color w:val="60CAF3" w:themeColor="accent4" w:themeTint="99"/>
          <w:sz w:val="36"/>
          <w:szCs w:val="36"/>
          <w:lang w:val="es-EC"/>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14:textOutline w14:w="9525" w14:cap="rnd" w14:cmpd="sng" w14:algn="ctr">
            <w14:solidFill>
              <w14:srgbClr w14:val="000000"/>
            </w14:solidFill>
            <w14:prstDash w14:val="solid"/>
            <w14:bevel/>
          </w14:textOutline>
        </w:rPr>
        <w:t>APOCALIPSIS</w:t>
      </w:r>
    </w:p>
    <w:p w14:paraId="6536AFCD" w14:textId="54785D41" w:rsidR="006005B2" w:rsidRPr="009B0185" w:rsidRDefault="00814258" w:rsidP="006005B2">
      <w:pPr>
        <w:jc w:val="both"/>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Diap. # 3</w:t>
      </w: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ab/>
      </w:r>
      <w:r w:rsidR="006005B2" w:rsidRPr="009B0185">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INTRODUCCIÓN</w:t>
      </w:r>
      <w:r w:rsidR="00F24F3A" w:rsidRPr="009B0185">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 AL ESTUDIO DEL LIBRO.</w:t>
      </w:r>
    </w:p>
    <w:p w14:paraId="1E653566" w14:textId="71D22C33" w:rsidR="00F24F3A" w:rsidRPr="009B0185" w:rsidRDefault="00F24F3A" w:rsidP="006005B2">
      <w:pPr>
        <w:jc w:val="both"/>
        <w:rPr>
          <w:rFonts w:ascii="Maiandra GD" w:hAnsi="Maiandra GD"/>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Autor y Fecha.</w:t>
      </w:r>
    </w:p>
    <w:p w14:paraId="7E0337E4" w14:textId="77777777" w:rsidR="006005B2" w:rsidRPr="009B0185" w:rsidRDefault="006005B2" w:rsidP="006005B2">
      <w:pPr>
        <w:jc w:val="both"/>
        <w:rPr>
          <w:rFonts w:ascii="Maiandra GD" w:hAnsi="Maiandra GD"/>
          <w:lang w:val="es-EC"/>
          <w14:shadow w14:blurRad="50800" w14:dist="38100" w14:dir="2700000" w14:sx="100000" w14:sy="100000" w14:kx="0" w14:ky="0" w14:algn="tl">
            <w14:srgbClr w14:val="000000">
              <w14:alpha w14:val="60000"/>
            </w14:srgbClr>
          </w14:shadow>
        </w:rPr>
      </w:pPr>
      <w:r w:rsidRPr="009B0185">
        <w:rPr>
          <w:rFonts w:ascii="Maiandra GD" w:hAnsi="Maiandra GD"/>
          <w:b/>
          <w:bCs/>
          <w:lang w:val="es-EC"/>
          <w14:shadow w14:blurRad="50800" w14:dist="38100" w14:dir="2700000" w14:sx="100000" w14:sy="100000" w14:kx="0" w14:ky="0" w14:algn="tl">
            <w14:srgbClr w14:val="000000">
              <w14:alpha w14:val="60000"/>
            </w14:srgbClr>
          </w14:shadow>
        </w:rPr>
        <w:t>“Apocalipsis</w:t>
      </w:r>
      <w:r w:rsidRPr="009B0185">
        <w:rPr>
          <w:rFonts w:ascii="Maiandra GD" w:hAnsi="Maiandra GD"/>
          <w:lang w:val="es-EC"/>
          <w14:shadow w14:blurRad="50800" w14:dist="38100" w14:dir="2700000" w14:sx="100000" w14:sy="100000" w14:kx="0" w14:ky="0" w14:algn="tl">
            <w14:srgbClr w14:val="000000">
              <w14:alpha w14:val="60000"/>
            </w14:srgbClr>
          </w14:shadow>
        </w:rPr>
        <w:t>” es voz griega (</w:t>
      </w:r>
      <w:r w:rsidRPr="009B0185">
        <w:rPr>
          <w:rFonts w:ascii="Calibri" w:hAnsi="Calibri" w:cs="Calibri"/>
          <w:b/>
          <w:bCs/>
          <w14:shadow w14:blurRad="50800" w14:dist="38100" w14:dir="2700000" w14:sx="100000" w14:sy="100000" w14:kx="0" w14:ky="0" w14:algn="tl">
            <w14:srgbClr w14:val="000000">
              <w14:alpha w14:val="60000"/>
            </w14:srgbClr>
          </w14:shadow>
        </w:rPr>
        <w:t>α</w:t>
      </w:r>
      <w:r w:rsidRPr="009B0185">
        <w:rPr>
          <w:rFonts w:ascii="Arial" w:hAnsi="Arial" w:cs="Arial"/>
          <w:b/>
          <w:bCs/>
          <w:lang w:val="es-EC"/>
          <w14:shadow w14:blurRad="50800" w14:dist="38100" w14:dir="2700000" w14:sx="100000" w14:sy="100000" w14:kx="0" w14:ky="0" w14:algn="tl">
            <w14:srgbClr w14:val="000000">
              <w14:alpha w14:val="60000"/>
            </w14:srgbClr>
          </w14:shadow>
        </w:rPr>
        <w:t>̓</w:t>
      </w:r>
      <w:r w:rsidRPr="009B0185">
        <w:rPr>
          <w:rFonts w:ascii="Maiandra GD" w:hAnsi="Maiandra GD" w:cs="Aptos"/>
          <w:b/>
          <w:bCs/>
          <w14:shadow w14:blurRad="50800" w14:dist="38100" w14:dir="2700000" w14:sx="100000" w14:sy="100000" w14:kx="0" w14:ky="0" w14:algn="tl">
            <w14:srgbClr w14:val="000000">
              <w14:alpha w14:val="60000"/>
            </w14:srgbClr>
          </w14:shadow>
        </w:rPr>
        <w:t>π</w:t>
      </w:r>
      <w:r w:rsidRPr="009B0185">
        <w:rPr>
          <w:rFonts w:ascii="Calibri" w:hAnsi="Calibri" w:cs="Calibri"/>
          <w:b/>
          <w:bCs/>
          <w14:shadow w14:blurRad="50800" w14:dist="38100" w14:dir="2700000" w14:sx="100000" w14:sy="100000" w14:kx="0" w14:ky="0" w14:algn="tl">
            <w14:srgbClr w14:val="000000">
              <w14:alpha w14:val="60000"/>
            </w14:srgbClr>
          </w14:shadow>
        </w:rPr>
        <w:t>οκα</w:t>
      </w:r>
      <w:r w:rsidRPr="009B0185">
        <w:rPr>
          <w:rFonts w:ascii="Maiandra GD" w:hAnsi="Maiandra GD"/>
          <w:b/>
          <w:bCs/>
          <w:lang w:val="es-EC"/>
          <w14:shadow w14:blurRad="50800" w14:dist="38100" w14:dir="2700000" w14:sx="100000" w14:sy="100000" w14:kx="0" w14:ky="0" w14:algn="tl">
            <w14:srgbClr w14:val="000000">
              <w14:alpha w14:val="60000"/>
            </w14:srgbClr>
          </w14:shadow>
        </w:rPr>
        <w:t>́</w:t>
      </w:r>
      <w:r w:rsidRPr="009B0185">
        <w:rPr>
          <w:rFonts w:ascii="Calibri" w:hAnsi="Calibri" w:cs="Calibri"/>
          <w:b/>
          <w:bCs/>
          <w14:shadow w14:blurRad="50800" w14:dist="38100" w14:dir="2700000" w14:sx="100000" w14:sy="100000" w14:kx="0" w14:ky="0" w14:algn="tl">
            <w14:srgbClr w14:val="000000">
              <w14:alpha w14:val="60000"/>
            </w14:srgbClr>
          </w14:shadow>
        </w:rPr>
        <w:t>λυψις</w:t>
      </w:r>
      <w:r w:rsidRPr="009B0185">
        <w:rPr>
          <w:rFonts w:ascii="Maiandra GD" w:hAnsi="Maiandra GD"/>
          <w:b/>
          <w:bCs/>
          <w:lang w:val="es-EC"/>
          <w14:shadow w14:blurRad="50800" w14:dist="38100" w14:dir="2700000" w14:sx="100000" w14:sy="100000" w14:kx="0" w14:ky="0" w14:algn="tl">
            <w14:srgbClr w14:val="000000">
              <w14:alpha w14:val="60000"/>
            </w14:srgbClr>
          </w14:shadow>
        </w:rPr>
        <w:t xml:space="preserve">), </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cuyo significado es “revelación”, y es tomado el nombre de la misma palabra que aparece en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rPr>
        <w:t>Ap.1:1</w:t>
      </w:r>
      <w:r w:rsidRPr="009B0185">
        <w:rPr>
          <w:rFonts w:ascii="Maiandra GD" w:hAnsi="Maiandra GD"/>
          <w:lang w:val="es-EC"/>
          <w14:shadow w14:blurRad="50800" w14:dist="38100" w14:dir="2700000" w14:sx="100000" w14:sy="100000" w14:kx="0" w14:ky="0" w14:algn="tl">
            <w14:srgbClr w14:val="000000">
              <w14:alpha w14:val="60000"/>
            </w14:srgbClr>
          </w14:shadow>
        </w:rPr>
        <w:t>.</w:t>
      </w:r>
    </w:p>
    <w:p w14:paraId="5C841FA9" w14:textId="75D2C27D" w:rsidR="006005B2" w:rsidRPr="009B0185" w:rsidRDefault="006005B2" w:rsidP="006005B2">
      <w:pPr>
        <w:jc w:val="both"/>
        <w:rPr>
          <w:rFonts w:ascii="Maiandra GD" w:hAnsi="Maiandra GD"/>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Fue escrito por el apóstol Juan, quizás entre los años 95 a 96</w:t>
      </w:r>
      <w:r w:rsidRPr="009B0185">
        <w:rPr>
          <w:rFonts w:ascii="Maiandra GD" w:hAnsi="Maiandra GD"/>
          <w:b/>
          <w:bCs/>
          <w:color w:val="EE0000"/>
          <w:lang w:val="es-EC"/>
          <w14:shadow w14:blurRad="50800" w14:dist="38100" w14:dir="2700000" w14:sx="100000" w14:sy="100000" w14:kx="0" w14:ky="0" w14:algn="tl">
            <w14:srgbClr w14:val="000000">
              <w14:alpha w14:val="60000"/>
            </w14:srgbClr>
          </w14:shadow>
        </w:rPr>
        <w:t>*</w:t>
      </w:r>
      <w:r w:rsidRPr="009B0185">
        <w:rPr>
          <w:rFonts w:ascii="Maiandra GD" w:hAnsi="Maiandra GD"/>
          <w:lang w:val="es-EC"/>
          <w14:shadow w14:blurRad="50800" w14:dist="38100" w14:dir="2700000" w14:sx="100000" w14:sy="100000" w14:kx="0" w14:ky="0" w14:algn="tl">
            <w14:srgbClr w14:val="000000">
              <w14:alpha w14:val="60000"/>
            </w14:srgbClr>
          </w14:shadow>
        </w:rPr>
        <w:t>, mientras estaba exiliado por causa del Señor en la isla de Patmos, en el Mar Egeo, entre Grecia y Persia antiguas. El imperio romano enviaba allí a presos políticos y líderes religiosos que consideraba peligrosos para sus intereses.</w:t>
      </w:r>
    </w:p>
    <w:p w14:paraId="53BF7DB8" w14:textId="1AA61078" w:rsidR="006005B2" w:rsidRPr="009B0185" w:rsidRDefault="006005B2" w:rsidP="006005B2">
      <w:pPr>
        <w:jc w:val="both"/>
        <w:rPr>
          <w:rFonts w:ascii="Maiandra GD" w:hAnsi="Maiandra GD"/>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 xml:space="preserve">En esa isla, Juan recibe esta revelación de parte de Jesucristo, sobre </w:t>
      </w:r>
      <w:r w:rsidRPr="009B0185">
        <w:rPr>
          <w:rFonts w:ascii="Maiandra GD" w:hAnsi="Maiandra GD"/>
          <w:i/>
          <w:iCs/>
          <w:lang w:val="es-EC"/>
          <w14:shadow w14:blurRad="50800" w14:dist="38100" w14:dir="2700000" w14:sx="100000" w14:sy="100000" w14:kx="0" w14:ky="0" w14:algn="tl">
            <w14:srgbClr w14:val="000000">
              <w14:alpha w14:val="60000"/>
            </w14:srgbClr>
          </w14:shadow>
        </w:rPr>
        <w:t xml:space="preserve">“las cosas que deben suceder pronto” </w:t>
      </w:r>
      <w:r w:rsidRPr="009B0185">
        <w:rPr>
          <w:rFonts w:ascii="Maiandra GD" w:hAnsi="Maiandra GD"/>
          <w:lang w:val="es-EC"/>
          <w14:shadow w14:blurRad="50800" w14:dist="38100" w14:dir="2700000" w14:sx="100000" w14:sy="100000" w14:kx="0" w14:ky="0" w14:algn="tl">
            <w14:srgbClr w14:val="000000">
              <w14:alpha w14:val="60000"/>
            </w14:srgbClr>
          </w14:shadow>
        </w:rPr>
        <w:t>(</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rPr>
        <w:t>1:1</w:t>
      </w:r>
      <w:r w:rsidRPr="009B0185">
        <w:rPr>
          <w:rFonts w:ascii="Maiandra GD" w:hAnsi="Maiandra GD"/>
          <w:lang w:val="es-EC"/>
          <w14:shadow w14:blurRad="50800" w14:dist="38100" w14:dir="2700000" w14:sx="100000" w14:sy="100000" w14:kx="0" w14:ky="0" w14:algn="tl">
            <w14:srgbClr w14:val="000000">
              <w14:alpha w14:val="60000"/>
            </w14:srgbClr>
          </w14:shadow>
        </w:rPr>
        <w:t>), declarando bienaventuranza para quien la recibe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rPr>
        <w:t>1:3</w:t>
      </w:r>
      <w:r w:rsidRPr="009B0185">
        <w:rPr>
          <w:rFonts w:ascii="Maiandra GD" w:hAnsi="Maiandra GD"/>
          <w:lang w:val="es-EC"/>
          <w14:shadow w14:blurRad="50800" w14:dist="38100" w14:dir="2700000" w14:sx="100000" w14:sy="100000" w14:kx="0" w14:ky="0" w14:algn="tl">
            <w14:srgbClr w14:val="000000">
              <w14:alpha w14:val="60000"/>
            </w14:srgbClr>
          </w14:shadow>
        </w:rPr>
        <w:t>).</w:t>
      </w:r>
    </w:p>
    <w:p w14:paraId="7350D77B" w14:textId="77777777" w:rsidR="00F24F3A" w:rsidRPr="009B0185" w:rsidRDefault="00F24F3A" w:rsidP="006005B2">
      <w:pPr>
        <w:jc w:val="both"/>
        <w:rPr>
          <w:rFonts w:ascii="Maiandra GD" w:hAnsi="Maiandra GD"/>
          <w:sz w:val="10"/>
          <w:szCs w:val="10"/>
          <w:lang w:val="es-EC"/>
          <w14:shadow w14:blurRad="50800" w14:dist="38100" w14:dir="2700000" w14:sx="100000" w14:sy="100000" w14:kx="0" w14:ky="0" w14:algn="tl">
            <w14:srgbClr w14:val="000000">
              <w14:alpha w14:val="60000"/>
            </w14:srgbClr>
          </w14:shadow>
        </w:rPr>
      </w:pPr>
    </w:p>
    <w:p w14:paraId="57B3D47A" w14:textId="3CEFDD82" w:rsidR="00F24F3A" w:rsidRPr="009B0185" w:rsidRDefault="00816202" w:rsidP="00F24F3A">
      <w:pPr>
        <w:jc w:val="both"/>
        <w:rPr>
          <w:rFonts w:ascii="Maiandra GD" w:hAnsi="Maiandra GD"/>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Diap. # </w:t>
      </w: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4</w:t>
      </w: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ab/>
      </w:r>
      <w:r w:rsidR="00F24F3A" w:rsidRPr="009B0185">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Naturaleza del libro</w:t>
      </w:r>
      <w:r w:rsidR="00F24F3A" w:rsidRPr="009B0185">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p>
    <w:p w14:paraId="722F08DE" w14:textId="07146608" w:rsidR="00491152" w:rsidRPr="009B0185" w:rsidRDefault="0005167F" w:rsidP="006005B2">
      <w:pPr>
        <w:jc w:val="both"/>
        <w:rPr>
          <w:rFonts w:ascii="Maiandra GD" w:hAnsi="Maiandra GD"/>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E</w:t>
      </w:r>
      <w:r w:rsidR="00F24F3A" w:rsidRPr="009B0185">
        <w:rPr>
          <w:rFonts w:ascii="Maiandra GD" w:hAnsi="Maiandra GD"/>
          <w:lang w:val="es-EC"/>
          <w14:shadow w14:blurRad="50800" w14:dist="38100" w14:dir="2700000" w14:sx="100000" w14:sy="100000" w14:kx="0" w14:ky="0" w14:algn="tl">
            <w14:srgbClr w14:val="000000">
              <w14:alpha w14:val="60000"/>
            </w14:srgbClr>
          </w14:shadow>
        </w:rPr>
        <w:t xml:space="preserve">l libro es de clasificación profética, </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acerca de </w:t>
      </w:r>
      <w:r w:rsidRPr="009B0185">
        <w:rPr>
          <w:rFonts w:ascii="Maiandra GD" w:hAnsi="Maiandra GD"/>
          <w:i/>
          <w:iCs/>
          <w:lang w:val="es-EC"/>
          <w14:shadow w14:blurRad="50800" w14:dist="38100" w14:dir="2700000" w14:sx="100000" w14:sy="100000" w14:kx="0" w14:ky="0" w14:algn="tl">
            <w14:srgbClr w14:val="000000">
              <w14:alpha w14:val="60000"/>
            </w14:srgbClr>
          </w14:shadow>
        </w:rPr>
        <w:t>“las cosas que deben suceder pronto”</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 como ya leímos; y no sólo que anuncia eventos futuros, sino que trae numerosos símbolos cuyo significado </w:t>
      </w:r>
      <w:r w:rsidR="00845960" w:rsidRPr="009B0185">
        <w:rPr>
          <w:rFonts w:ascii="Maiandra GD" w:hAnsi="Maiandra GD"/>
          <w:lang w:val="es-EC"/>
          <w14:shadow w14:blurRad="50800" w14:dist="38100" w14:dir="2700000" w14:sx="100000" w14:sy="100000" w14:kx="0" w14:ky="0" w14:algn="tl">
            <w14:srgbClr w14:val="000000">
              <w14:alpha w14:val="60000"/>
            </w14:srgbClr>
          </w14:shadow>
        </w:rPr>
        <w:t>nos corresponde entender, para nuestra edificación</w:t>
      </w:r>
      <w:r w:rsidR="00C338B5" w:rsidRPr="009B0185">
        <w:rPr>
          <w:rFonts w:ascii="Maiandra GD" w:hAnsi="Maiandra GD"/>
          <w:lang w:val="es-EC"/>
          <w14:shadow w14:blurRad="50800" w14:dist="38100" w14:dir="2700000" w14:sx="100000" w14:sy="100000" w14:kx="0" w14:ky="0" w14:algn="tl">
            <w14:srgbClr w14:val="000000">
              <w14:alpha w14:val="60000"/>
            </w14:srgbClr>
          </w14:shadow>
        </w:rPr>
        <w:t>.</w:t>
      </w:r>
      <w:r w:rsidR="00845960" w:rsidRPr="009B0185">
        <w:rPr>
          <w:rFonts w:ascii="Maiandra GD" w:hAnsi="Maiandra GD"/>
          <w:lang w:val="es-EC"/>
          <w14:shadow w14:blurRad="50800" w14:dist="38100" w14:dir="2700000" w14:sx="100000" w14:sy="100000" w14:kx="0" w14:ky="0" w14:algn="tl">
            <w14:srgbClr w14:val="000000">
              <w14:alpha w14:val="60000"/>
            </w14:srgbClr>
          </w14:shadow>
        </w:rPr>
        <w:t xml:space="preserve"> </w:t>
      </w:r>
      <w:r w:rsidR="00D511C9" w:rsidRPr="009B0185">
        <w:rPr>
          <w:rFonts w:ascii="Maiandra GD" w:hAnsi="Maiandra GD"/>
          <w:lang w:val="es-EC"/>
          <w14:shadow w14:blurRad="50800" w14:dist="38100" w14:dir="2700000" w14:sx="100000" w14:sy="100000" w14:kx="0" w14:ky="0" w14:algn="tl">
            <w14:srgbClr w14:val="000000">
              <w14:alpha w14:val="60000"/>
            </w14:srgbClr>
          </w14:shadow>
        </w:rPr>
        <w:t xml:space="preserve">Aquí veremos la numerología bíblica que, en claras ocasiones, se presenta en series de 7; </w:t>
      </w:r>
      <w:r w:rsidR="00E626F8" w:rsidRPr="009B0185">
        <w:rPr>
          <w:rFonts w:ascii="Maiandra GD" w:hAnsi="Maiandra GD"/>
          <w:lang w:val="es-EC"/>
          <w14:shadow w14:blurRad="50800" w14:dist="38100" w14:dir="2700000" w14:sx="100000" w14:sy="100000" w14:kx="0" w14:ky="0" w14:algn="tl">
            <w14:srgbClr w14:val="000000">
              <w14:alpha w14:val="60000"/>
            </w14:srgbClr>
          </w14:shadow>
        </w:rPr>
        <w:t xml:space="preserve">otros números, como el 3, el 4 y el 12 tienen también su lugar. Por cierto, </w:t>
      </w:r>
      <w:r w:rsidR="00D511C9" w:rsidRPr="009B0185">
        <w:rPr>
          <w:rFonts w:ascii="Maiandra GD" w:hAnsi="Maiandra GD"/>
          <w:lang w:val="es-EC"/>
          <w14:shadow w14:blurRad="50800" w14:dist="38100" w14:dir="2700000" w14:sx="100000" w14:sy="100000" w14:kx="0" w14:ky="0" w14:algn="tl">
            <w14:srgbClr w14:val="000000">
              <w14:alpha w14:val="60000"/>
            </w14:srgbClr>
          </w14:shadow>
        </w:rPr>
        <w:t xml:space="preserve">esta revelación anticipa proféticamente graves juicios que vendrán sobre la tierra. </w:t>
      </w:r>
      <w:r w:rsidR="0082609F"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Esto es lo que ha provocado temor en muchos y hasta ha sido causa para que resuelvan no leer el libro de Apocalipsis (tal vez en esta barca hay quienes han preferido ni leer este libro, por el miedo</w:t>
      </w:r>
      <w:r w:rsidR="00153DF7"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 xml:space="preserve"> que a muchos produce)</w:t>
      </w:r>
      <w:r w:rsidR="00153DF7" w:rsidRPr="009B0185">
        <w:rPr>
          <w:rFonts w:ascii="Maiandra GD" w:hAnsi="Maiandra GD"/>
          <w:lang w:val="es-EC"/>
          <w14:shadow w14:blurRad="50800" w14:dist="38100" w14:dir="2700000" w14:sx="100000" w14:sy="100000" w14:kx="0" w14:ky="0" w14:algn="tl">
            <w14:srgbClr w14:val="000000">
              <w14:alpha w14:val="60000"/>
            </w14:srgbClr>
          </w14:shadow>
        </w:rPr>
        <w:t>.</w:t>
      </w:r>
    </w:p>
    <w:p w14:paraId="08F79261" w14:textId="6F3227D5" w:rsidR="00E626F8" w:rsidRPr="009B0185" w:rsidRDefault="00845960" w:rsidP="006005B2">
      <w:pPr>
        <w:jc w:val="both"/>
        <w:rPr>
          <w:rFonts w:ascii="Maiandra GD" w:hAnsi="Maiandra GD"/>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 xml:space="preserve">Pero Apocalipsis también nos presenta la gloria, hermosura y majestad de Jesucristo, </w:t>
      </w:r>
      <w:r w:rsidR="00D511C9" w:rsidRPr="009B0185">
        <w:rPr>
          <w:rFonts w:ascii="Maiandra GD" w:hAnsi="Maiandra GD"/>
          <w:lang w:val="es-EC"/>
          <w14:shadow w14:blurRad="50800" w14:dist="38100" w14:dir="2700000" w14:sx="100000" w14:sy="100000" w14:kx="0" w14:ky="0" w14:algn="tl">
            <w14:srgbClr w14:val="000000">
              <w14:alpha w14:val="60000"/>
            </w14:srgbClr>
          </w14:shadow>
        </w:rPr>
        <w:t>q</w:t>
      </w:r>
      <w:r w:rsidRPr="009B0185">
        <w:rPr>
          <w:rFonts w:ascii="Maiandra GD" w:hAnsi="Maiandra GD"/>
          <w:lang w:val="es-EC"/>
          <w14:shadow w14:blurRad="50800" w14:dist="38100" w14:dir="2700000" w14:sx="100000" w14:sy="100000" w14:kx="0" w14:ky="0" w14:algn="tl">
            <w14:srgbClr w14:val="000000">
              <w14:alpha w14:val="60000"/>
            </w14:srgbClr>
          </w14:shadow>
        </w:rPr>
        <w:t>uien es referido a través de numerosos títulos que describen</w:t>
      </w:r>
      <w:r w:rsidR="00D511C9" w:rsidRPr="009B0185">
        <w:rPr>
          <w:rFonts w:ascii="Maiandra GD" w:hAnsi="Maiandra GD"/>
          <w:lang w:val="es-EC"/>
          <w14:shadow w14:blurRad="50800" w14:dist="38100" w14:dir="2700000" w14:sx="100000" w14:sy="100000" w14:kx="0" w14:ky="0" w14:algn="tl">
            <w14:srgbClr w14:val="000000">
              <w14:alpha w14:val="60000"/>
            </w14:srgbClr>
          </w14:shadow>
        </w:rPr>
        <w:t xml:space="preserve"> Su grandeza y que atenderemos en nuestro estudio</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 </w:t>
      </w:r>
      <w:r w:rsidR="00E626F8" w:rsidRPr="009B0185">
        <w:rPr>
          <w:rFonts w:ascii="Maiandra GD" w:hAnsi="Maiandra GD"/>
          <w:lang w:val="es-EC"/>
          <w14:shadow w14:blurRad="50800" w14:dist="38100" w14:dir="2700000" w14:sx="100000" w14:sy="100000" w14:kx="0" w14:ky="0" w14:algn="tl">
            <w14:srgbClr w14:val="000000">
              <w14:alpha w14:val="60000"/>
            </w14:srgbClr>
          </w14:shadow>
        </w:rPr>
        <w:t>El final del libro es esperanzador, triunfal y glorioso.</w:t>
      </w:r>
    </w:p>
    <w:p w14:paraId="6881E433" w14:textId="39C657E9" w:rsidR="00153DF7" w:rsidRPr="009B0185" w:rsidRDefault="00153DF7" w:rsidP="006005B2">
      <w:pPr>
        <w:jc w:val="both"/>
        <w:rPr>
          <w:rFonts w:ascii="Maiandra GD" w:hAnsi="Maiandra GD"/>
          <w:b/>
          <w:bCs/>
          <w:color w:val="0070C0"/>
          <w:lang w:val="es-EC"/>
          <w14:shadow w14:blurRad="50800" w14:dist="38100" w14:dir="2700000" w14:sx="100000" w14:sy="100000" w14:kx="0" w14:ky="0" w14:algn="tl">
            <w14:srgbClr w14:val="000000">
              <w14:alpha w14:val="60000"/>
            </w14:srgbClr>
          </w14:shadow>
        </w:rPr>
      </w:pP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lastRenderedPageBreak/>
        <w:t>No lo dudemos: Si en 1:3 se declara bienaventuranza para quien lea y guarde las palabras de esta revelación, nos espera una experiencia destinada a nuestra bendición y para afinar más nuestra vida como cristianos.</w:t>
      </w:r>
    </w:p>
    <w:p w14:paraId="3760A341" w14:textId="349AF462" w:rsidR="00153DF7" w:rsidRPr="009B0185" w:rsidRDefault="00153DF7" w:rsidP="006005B2">
      <w:pPr>
        <w:jc w:val="both"/>
        <w:rPr>
          <w:rFonts w:ascii="Maiandra GD" w:hAnsi="Maiandra GD"/>
          <w:b/>
          <w:bCs/>
          <w:color w:val="0070C0"/>
          <w:lang w:val="es-EC"/>
          <w14:shadow w14:blurRad="50800" w14:dist="38100" w14:dir="2700000" w14:sx="100000" w14:sy="100000" w14:kx="0" w14:ky="0" w14:algn="tl">
            <w14:srgbClr w14:val="000000">
              <w14:alpha w14:val="60000"/>
            </w14:srgbClr>
          </w14:shadow>
        </w:rPr>
      </w:pPr>
      <w:r w:rsidRPr="009B0185">
        <w:rPr>
          <w:rFonts w:ascii="Maiandra GD" w:hAnsi="Maiandra GD"/>
          <w:noProof/>
          <w:lang w:val="es-EC"/>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597C0C43" wp14:editId="379E2546">
                <wp:simplePos x="0" y="0"/>
                <wp:positionH relativeFrom="margin">
                  <wp:align>center</wp:align>
                </wp:positionH>
                <wp:positionV relativeFrom="paragraph">
                  <wp:posOffset>78569</wp:posOffset>
                </wp:positionV>
                <wp:extent cx="6275070" cy="1092080"/>
                <wp:effectExtent l="0" t="0" r="11430" b="13335"/>
                <wp:wrapNone/>
                <wp:docPr id="123364765" name="Rectángulo: esquinas redondeadas 1"/>
                <wp:cNvGraphicFramePr/>
                <a:graphic xmlns:a="http://schemas.openxmlformats.org/drawingml/2006/main">
                  <a:graphicData uri="http://schemas.microsoft.com/office/word/2010/wordprocessingShape">
                    <wps:wsp>
                      <wps:cNvSpPr/>
                      <wps:spPr>
                        <a:xfrm>
                          <a:off x="0" y="0"/>
                          <a:ext cx="6275070" cy="109208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6C2ABCE" w14:textId="4786BCC3" w:rsidR="006005B2" w:rsidRPr="006005B2" w:rsidRDefault="006005B2" w:rsidP="006005B2">
                            <w:pPr>
                              <w:jc w:val="both"/>
                              <w:rPr>
                                <w:rFonts w:ascii="Maiandra GD" w:hAnsi="Maiandra GD"/>
                                <w:lang w:val="es-EC"/>
                              </w:rPr>
                            </w:pPr>
                            <w:r>
                              <w:rPr>
                                <w:rFonts w:ascii="Maiandra GD" w:hAnsi="Maiandra GD"/>
                                <w:b/>
                                <w:bCs/>
                                <w:color w:val="EE0000"/>
                                <w:lang w:val="es-EC"/>
                              </w:rPr>
                              <w:t xml:space="preserve">* </w:t>
                            </w:r>
                            <w:r w:rsidRPr="00F24F3A">
                              <w:rPr>
                                <w:rFonts w:ascii="Maiandra GD" w:hAnsi="Maiandra GD"/>
                                <w:b/>
                                <w:bCs/>
                                <w:color w:val="0070C0"/>
                                <w:lang w:val="es-EC"/>
                              </w:rPr>
                              <w:t>Decimos “quizás”, porque otros piensan que pudo haber sido alrededor del año 68 dC, durante el reinado del emperador Nerón</w:t>
                            </w:r>
                            <w:r w:rsidR="00F24F3A">
                              <w:rPr>
                                <w:rFonts w:ascii="Maiandra GD" w:hAnsi="Maiandra GD"/>
                                <w:b/>
                                <w:bCs/>
                                <w:color w:val="0070C0"/>
                                <w:lang w:val="es-EC"/>
                              </w:rPr>
                              <w:t>. N</w:t>
                            </w:r>
                            <w:r w:rsidRPr="00F24F3A">
                              <w:rPr>
                                <w:rFonts w:ascii="Maiandra GD" w:hAnsi="Maiandra GD"/>
                                <w:b/>
                                <w:bCs/>
                                <w:color w:val="0070C0"/>
                                <w:lang w:val="es-EC"/>
                              </w:rPr>
                              <w:t>o obstante, la mayoría opina que fue entre el 95 y 96, en tiempos del emperador Domiciano</w:t>
                            </w:r>
                            <w:r w:rsidR="00F24F3A">
                              <w:rPr>
                                <w:rFonts w:ascii="Maiandra GD" w:hAnsi="Maiandra GD"/>
                                <w:b/>
                                <w:bCs/>
                                <w:color w:val="0070C0"/>
                                <w:lang w:val="es-EC"/>
                              </w:rPr>
                              <w:t>; siendo así, Juan tendría alrededor de 90 años</w:t>
                            </w:r>
                            <w:r w:rsidRPr="00F24F3A">
                              <w:rPr>
                                <w:rFonts w:ascii="Maiandra GD" w:hAnsi="Maiandra GD"/>
                                <w:b/>
                                <w:bCs/>
                                <w:color w:val="0070C0"/>
                                <w:lang w:val="es-EC"/>
                              </w:rPr>
                              <w:t>.</w:t>
                            </w:r>
                            <w:r w:rsidRPr="00F24F3A">
                              <w:rPr>
                                <w:rFonts w:ascii="Maiandra GD" w:hAnsi="Maiandra GD"/>
                                <w:color w:val="0070C0"/>
                                <w:lang w:val="es-EC"/>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7C0C43" id="Rectángulo: esquinas redondeadas 1" o:spid="_x0000_s1026" style="position:absolute;left:0;text-align:left;margin-left:0;margin-top:6.2pt;width:494.1pt;height:86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" fillcolor="white [3201]" strokecolor="#4ea72e [3209]" strokeweight="1.5pt">
                <v:stroke joinstyle="miter"/>
                <v:textbox>
                  <w:txbxContent>
                    <w:p w14:paraId="36C2ABCE" w14:textId="4786BCC3" w:rsidR="006005B2" w:rsidRPr="006005B2" w:rsidRDefault="006005B2" w:rsidP="006005B2">
                      <w:pPr>
                        <w:jc w:val="both"/>
                        <w:rPr>
                          <w:rFonts w:ascii="Maiandra GD" w:hAnsi="Maiandra GD"/>
                          <w:lang w:val="es-EC"/>
                        </w:rPr>
                      </w:pPr>
                      <w:r>
                        <w:rPr>
                          <w:rFonts w:ascii="Maiandra GD" w:hAnsi="Maiandra GD"/>
                          <w:b/>
                          <w:bCs/>
                          <w:color w:val="EE0000"/>
                          <w:lang w:val="es-EC"/>
                        </w:rPr>
                        <w:t xml:space="preserve">* </w:t>
                      </w:r>
                      <w:r w:rsidRPr="00F24F3A">
                        <w:rPr>
                          <w:rFonts w:ascii="Maiandra GD" w:hAnsi="Maiandra GD"/>
                          <w:b/>
                          <w:bCs/>
                          <w:color w:val="0070C0"/>
                          <w:lang w:val="es-EC"/>
                        </w:rPr>
                        <w:t>Decimos “quizás”, porque otros piensan que pudo haber sido alrededor del año 68 dC, durante el reinado del emperador Nerón</w:t>
                      </w:r>
                      <w:r w:rsidR="00F24F3A">
                        <w:rPr>
                          <w:rFonts w:ascii="Maiandra GD" w:hAnsi="Maiandra GD"/>
                          <w:b/>
                          <w:bCs/>
                          <w:color w:val="0070C0"/>
                          <w:lang w:val="es-EC"/>
                        </w:rPr>
                        <w:t>. N</w:t>
                      </w:r>
                      <w:r w:rsidRPr="00F24F3A">
                        <w:rPr>
                          <w:rFonts w:ascii="Maiandra GD" w:hAnsi="Maiandra GD"/>
                          <w:b/>
                          <w:bCs/>
                          <w:color w:val="0070C0"/>
                          <w:lang w:val="es-EC"/>
                        </w:rPr>
                        <w:t>o obstante, la mayoría opina que fue entre el 95 y 96, en tiempos del emperador Domiciano</w:t>
                      </w:r>
                      <w:r w:rsidR="00F24F3A">
                        <w:rPr>
                          <w:rFonts w:ascii="Maiandra GD" w:hAnsi="Maiandra GD"/>
                          <w:b/>
                          <w:bCs/>
                          <w:color w:val="0070C0"/>
                          <w:lang w:val="es-EC"/>
                        </w:rPr>
                        <w:t>; siendo así, Juan tendría alrededor de 90 años</w:t>
                      </w:r>
                      <w:r w:rsidRPr="00F24F3A">
                        <w:rPr>
                          <w:rFonts w:ascii="Maiandra GD" w:hAnsi="Maiandra GD"/>
                          <w:b/>
                          <w:bCs/>
                          <w:color w:val="0070C0"/>
                          <w:lang w:val="es-EC"/>
                        </w:rPr>
                        <w:t>.</w:t>
                      </w:r>
                      <w:r w:rsidRPr="00F24F3A">
                        <w:rPr>
                          <w:rFonts w:ascii="Maiandra GD" w:hAnsi="Maiandra GD"/>
                          <w:color w:val="0070C0"/>
                          <w:lang w:val="es-EC"/>
                        </w:rPr>
                        <w:t xml:space="preserve"> </w:t>
                      </w:r>
                    </w:p>
                  </w:txbxContent>
                </v:textbox>
                <w10:wrap anchorx="margin"/>
              </v:roundrect>
            </w:pict>
          </mc:Fallback>
        </mc:AlternateContent>
      </w:r>
    </w:p>
    <w:p w14:paraId="2176C87B" w14:textId="1B34BB51" w:rsidR="002A52FA" w:rsidRPr="009B0185" w:rsidRDefault="00816202" w:rsidP="002A52FA">
      <w:pPr>
        <w:jc w:val="both"/>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Diap. # </w:t>
      </w: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5</w:t>
      </w: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ab/>
      </w:r>
      <w:r w:rsidR="002A52FA" w:rsidRPr="009B0185">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Las escuelas interpretativas</w:t>
      </w:r>
      <w:r w:rsidR="002A52FA" w:rsidRPr="009B0185">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p>
    <w:p w14:paraId="1C308B2E" w14:textId="40BB955B" w:rsidR="002A52FA" w:rsidRPr="009B0185" w:rsidRDefault="002A52FA" w:rsidP="002A52FA">
      <w:pPr>
        <w:jc w:val="both"/>
        <w:rPr>
          <w:rFonts w:ascii="Maiandra GD" w:hAnsi="Maiandra GD"/>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 xml:space="preserve">No hay una sola interpretación que sea universalmente aceptada de Apocalipsis, aunque hay una tendencia </w:t>
      </w:r>
      <w:r w:rsidR="00E66793" w:rsidRPr="009B0185">
        <w:rPr>
          <w:rFonts w:ascii="Maiandra GD" w:hAnsi="Maiandra GD"/>
          <w:lang w:val="es-EC"/>
          <w14:shadow w14:blurRad="50800" w14:dist="38100" w14:dir="2700000" w14:sx="100000" w14:sy="100000" w14:kx="0" w14:ky="0" w14:algn="tl">
            <w14:srgbClr w14:val="000000">
              <w14:alpha w14:val="60000"/>
            </w14:srgbClr>
          </w14:shadow>
        </w:rPr>
        <w:t>dominante</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 en muchos sectores contemporáneos del cristianismo evangélico. Existen cuatro grandes escuelas de interpretación para este libro, y son las siguientes:</w:t>
      </w:r>
    </w:p>
    <w:p w14:paraId="3A3D72E7" w14:textId="22DA9CD9" w:rsidR="002A52FA" w:rsidRPr="009B0185" w:rsidRDefault="002A52FA" w:rsidP="0076133F">
      <w:pPr>
        <w:spacing w:after="0"/>
        <w:ind w:firstLine="360"/>
        <w:jc w:val="both"/>
        <w:rPr>
          <w:rFonts w:ascii="Maiandra GD" w:hAnsi="Maiandra GD"/>
          <w:b/>
          <w:bCs/>
          <w:color w:val="0B769F" w:themeColor="accent4" w:themeShade="BF"/>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0B769F" w:themeColor="accent4" w:themeShade="BF"/>
          <w:sz w:val="28"/>
          <w:szCs w:val="28"/>
          <w:u w:val="single"/>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Escuela Preterista</w:t>
      </w:r>
      <w:r w:rsidRPr="009B0185">
        <w:rPr>
          <w:rFonts w:ascii="Maiandra GD" w:hAnsi="Maiandra GD"/>
          <w:b/>
          <w:bCs/>
          <w:color w:val="0B769F" w:themeColor="accent4" w:themeShade="BF"/>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p>
    <w:p w14:paraId="369AA471" w14:textId="77777777" w:rsidR="002A52FA" w:rsidRPr="009B0185" w:rsidRDefault="002A52FA" w:rsidP="002A52FA">
      <w:pPr>
        <w:pStyle w:val="Prrafodelista"/>
        <w:ind w:left="360"/>
        <w:jc w:val="both"/>
        <w:rPr>
          <w:rFonts w:ascii="Maiandra GD" w:hAnsi="Maiandra GD"/>
          <w:b/>
          <w:bCs/>
          <w:color w:val="0B769F" w:themeColor="accent4" w:themeShade="BF"/>
          <w:sz w:val="6"/>
          <w:szCs w:val="6"/>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46F02B58" w14:textId="69729694" w:rsidR="002A52FA" w:rsidRPr="009B0185" w:rsidRDefault="0072070D" w:rsidP="002A52FA">
      <w:pPr>
        <w:pStyle w:val="Prrafodelista"/>
        <w:ind w:left="360"/>
        <w:jc w:val="both"/>
        <w:rPr>
          <w:rFonts w:ascii="Maiandra GD" w:hAnsi="Maiandra GD"/>
          <w:b/>
          <w:bCs/>
          <w:color w:val="0070C0"/>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 xml:space="preserve">Ve gran parte del Apocalipsis como cumplido ya en el primer siglo, o en el tiempo de la caída de Jerusalén o en el conflicto con el imperio romano. </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El lugar profético es prácticamente desconsiderado en esta posición.</w:t>
      </w:r>
    </w:p>
    <w:p w14:paraId="7B51F24D" w14:textId="77777777" w:rsidR="0072070D" w:rsidRPr="009B0185" w:rsidRDefault="0072070D" w:rsidP="002A52FA">
      <w:pPr>
        <w:pStyle w:val="Prrafodelista"/>
        <w:ind w:left="360"/>
        <w:jc w:val="both"/>
        <w:rPr>
          <w:rFonts w:ascii="Maiandra GD" w:hAnsi="Maiandra GD"/>
          <w:b/>
          <w:bCs/>
          <w:color w:val="0070C0"/>
          <w:sz w:val="10"/>
          <w:szCs w:val="10"/>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50AE53CC" w14:textId="28C88F8F" w:rsidR="002A52FA" w:rsidRPr="009B0185" w:rsidRDefault="002A52FA" w:rsidP="00A24845">
      <w:pPr>
        <w:pStyle w:val="Prrafodelista"/>
        <w:ind w:left="360"/>
        <w:jc w:val="both"/>
        <w:rPr>
          <w:rFonts w:ascii="Maiandra GD" w:hAnsi="Maiandra GD"/>
          <w:b/>
          <w:bCs/>
          <w:color w:val="0B769F" w:themeColor="accent4" w:themeShade="BF"/>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0B769F" w:themeColor="accent4" w:themeShade="BF"/>
          <w:sz w:val="28"/>
          <w:szCs w:val="28"/>
          <w:u w:val="single"/>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Escuela Historicista</w:t>
      </w:r>
      <w:r w:rsidRPr="009B0185">
        <w:rPr>
          <w:rFonts w:ascii="Maiandra GD" w:hAnsi="Maiandra GD"/>
          <w:b/>
          <w:bCs/>
          <w:color w:val="0B769F" w:themeColor="accent4" w:themeShade="BF"/>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p>
    <w:p w14:paraId="75D4529D" w14:textId="4ED865C9" w:rsidR="0072070D" w:rsidRPr="009B0185" w:rsidRDefault="0072070D" w:rsidP="0072070D">
      <w:pPr>
        <w:pStyle w:val="Prrafodelista"/>
        <w:ind w:left="360"/>
        <w:jc w:val="both"/>
        <w:rPr>
          <w:rFonts w:ascii="Maiandra GD" w:hAnsi="Maiandra GD"/>
          <w:b/>
          <w:bCs/>
          <w:color w:val="0070C0"/>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 xml:space="preserve">Entiende Apocalipsis como un panorama progresivo de la historia de la humanidad y de la iglesia, desde la época de los apóstoles hasta la segunda venida de Jesucristo. </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Aquí sí hay lugar para lo profético</w:t>
      </w:r>
      <w:r w:rsidR="00CF382A"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 xml:space="preserve">; </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hay una insistente alusión en contra del papado y la histórica iglesia romana.</w:t>
      </w:r>
    </w:p>
    <w:p w14:paraId="6BF064E9" w14:textId="77777777" w:rsidR="0072070D" w:rsidRPr="009B0185" w:rsidRDefault="0072070D" w:rsidP="0072070D">
      <w:pPr>
        <w:pStyle w:val="Prrafodelista"/>
        <w:ind w:left="360"/>
        <w:jc w:val="both"/>
        <w:rPr>
          <w:rFonts w:ascii="Maiandra GD" w:hAnsi="Maiandra GD"/>
          <w:b/>
          <w:bCs/>
          <w:color w:val="0070C0"/>
          <w:sz w:val="6"/>
          <w:szCs w:val="6"/>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7741D061" w14:textId="2B1F395C" w:rsidR="000B5F3B" w:rsidRPr="009B0185" w:rsidRDefault="00F323AE" w:rsidP="00F323AE">
      <w:pPr>
        <w:jc w:val="both"/>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Diap. # </w:t>
      </w:r>
      <w:r w:rsidR="005766BD"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6</w:t>
      </w: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ab/>
      </w:r>
    </w:p>
    <w:p w14:paraId="51E44635" w14:textId="5AAE9974" w:rsidR="002A52FA" w:rsidRPr="009B0185" w:rsidRDefault="002A52FA" w:rsidP="000B5F3B">
      <w:pPr>
        <w:ind w:firstLine="360"/>
        <w:jc w:val="both"/>
        <w:rPr>
          <w:rFonts w:ascii="Maiandra GD" w:hAnsi="Maiandra GD"/>
          <w:b/>
          <w:bCs/>
          <w:color w:val="0B769F" w:themeColor="accent4" w:themeShade="BF"/>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0B769F" w:themeColor="accent4" w:themeShade="BF"/>
          <w:sz w:val="28"/>
          <w:szCs w:val="28"/>
          <w:u w:val="single"/>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Escuela Idealista o Simbólica</w:t>
      </w:r>
      <w:r w:rsidRPr="009B0185">
        <w:rPr>
          <w:rFonts w:ascii="Maiandra GD" w:hAnsi="Maiandra GD"/>
          <w:b/>
          <w:bCs/>
          <w:color w:val="0B769F" w:themeColor="accent4" w:themeShade="BF"/>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p>
    <w:p w14:paraId="6B4EBA52" w14:textId="1719295F" w:rsidR="0072070D" w:rsidRPr="009B0185" w:rsidRDefault="001375A4" w:rsidP="0072070D">
      <w:pPr>
        <w:pStyle w:val="Prrafodelista"/>
        <w:ind w:left="360"/>
        <w:jc w:val="both"/>
        <w:rPr>
          <w:rFonts w:ascii="Maiandra GD" w:hAnsi="Maiandra GD"/>
          <w:b/>
          <w:bCs/>
          <w:color w:val="0070C0"/>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 xml:space="preserve">Ve </w:t>
      </w:r>
      <w:r w:rsidR="004301E4" w:rsidRPr="009B0185">
        <w:rPr>
          <w:rFonts w:ascii="Maiandra GD" w:hAnsi="Maiandra GD"/>
          <w:lang w:val="es-EC"/>
          <w14:shadow w14:blurRad="50800" w14:dist="38100" w14:dir="2700000" w14:sx="100000" w14:sy="100000" w14:kx="0" w14:ky="0" w14:algn="tl">
            <w14:srgbClr w14:val="000000">
              <w14:alpha w14:val="60000"/>
            </w14:srgbClr>
          </w14:shadow>
        </w:rPr>
        <w:t>en las imágenes d</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el libro una representación continua de la lucha entre Cristo y las fuerzas del mal en todas las épocas. </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No acepta el espíritu profético en Apocalipsis, sino que sostiene que los símbolos son representaciones espirituales aplicables a todos los tiempos.</w:t>
      </w:r>
    </w:p>
    <w:p w14:paraId="5B17D391" w14:textId="77777777" w:rsidR="001375A4" w:rsidRPr="009B0185" w:rsidRDefault="001375A4" w:rsidP="0072070D">
      <w:pPr>
        <w:pStyle w:val="Prrafodelista"/>
        <w:ind w:left="360"/>
        <w:jc w:val="both"/>
        <w:rPr>
          <w:rFonts w:ascii="Maiandra GD" w:hAnsi="Maiandra GD"/>
          <w:b/>
          <w:bCs/>
          <w:color w:val="0070C0"/>
          <w:sz w:val="10"/>
          <w:szCs w:val="10"/>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p>
    <w:p w14:paraId="0FC2C346" w14:textId="22CD4DF7" w:rsidR="002A52FA" w:rsidRPr="009B0185" w:rsidRDefault="002A52FA" w:rsidP="00A24845">
      <w:pPr>
        <w:pStyle w:val="Prrafodelista"/>
        <w:ind w:left="360"/>
        <w:jc w:val="both"/>
        <w:rPr>
          <w:rFonts w:ascii="Maiandra GD" w:hAnsi="Maiandra GD"/>
          <w:b/>
          <w:bCs/>
          <w:color w:val="0B769F" w:themeColor="accent4" w:themeShade="BF"/>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0B769F" w:themeColor="accent4" w:themeShade="BF"/>
          <w:sz w:val="28"/>
          <w:szCs w:val="28"/>
          <w:u w:val="single"/>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Escuela Futurista</w:t>
      </w:r>
      <w:r w:rsidRPr="009B0185">
        <w:rPr>
          <w:rFonts w:ascii="Maiandra GD" w:hAnsi="Maiandra GD"/>
          <w:b/>
          <w:bCs/>
          <w:color w:val="0B769F" w:themeColor="accent4" w:themeShade="BF"/>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w:t>
      </w:r>
    </w:p>
    <w:p w14:paraId="222F881C" w14:textId="4C70E081" w:rsidR="001375A4" w:rsidRPr="009B0185" w:rsidRDefault="001375A4" w:rsidP="001375A4">
      <w:pPr>
        <w:pStyle w:val="Prrafodelista"/>
        <w:ind w:left="360"/>
        <w:jc w:val="both"/>
        <w:rPr>
          <w:rFonts w:ascii="Maiandra GD" w:hAnsi="Maiandra GD"/>
          <w:b/>
          <w:bCs/>
          <w:color w:val="0070C0"/>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 xml:space="preserve">Considera que desde el capítulo 4 del libro en adelante, la gran mayoría de los eventos allí presentados corresponden sólo al futuro. </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 xml:space="preserve">Interpreta que el libro es una </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lastRenderedPageBreak/>
        <w:t xml:space="preserve">descripción literal de eventos por venir, centrados en el fin de los tiempos, el Anticristo, la </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 xml:space="preserve">Gran </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Tribulación y el Retorno de Cristo</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w:t>
      </w:r>
    </w:p>
    <w:p w14:paraId="37AC358E" w14:textId="32E3FFE4" w:rsidR="001375A4" w:rsidRPr="009B0185" w:rsidRDefault="001375A4" w:rsidP="0076133F">
      <w:pPr>
        <w:spacing w:after="0"/>
        <w:jc w:val="both"/>
        <w:rPr>
          <w:rFonts w:ascii="Maiandra GD" w:hAnsi="Maiandra GD"/>
          <w:lang w:val="es-EC"/>
          <w14:shadow w14:blurRad="50800" w14:dist="38100" w14:dir="2700000" w14:sx="100000" w14:sy="100000" w14:kx="0" w14:ky="0" w14:algn="tl">
            <w14:srgbClr w14:val="000000">
              <w14:alpha w14:val="60000"/>
            </w14:srgbClr>
          </w14:shadow>
        </w:rPr>
      </w:pPr>
      <w:r w:rsidRPr="009B0185">
        <w:rPr>
          <w:rFonts w:ascii="Maiandra GD" w:hAnsi="Maiandra GD"/>
          <w:lang w:val="es-EC"/>
          <w14:shadow w14:blurRad="50800" w14:dist="38100" w14:dir="2700000" w14:sx="100000" w14:sy="100000" w14:kx="0" w14:ky="0" w14:algn="tl">
            <w14:srgbClr w14:val="000000">
              <w14:alpha w14:val="60000"/>
            </w14:srgbClr>
          </w14:shadow>
        </w:rPr>
        <w:t xml:space="preserve">Nuestro estudio no se adhiere necesariamente a alguna de estas escuelas, ni entra en la crítica de ellas. Como una saludable posición de muchos </w:t>
      </w:r>
      <w:r w:rsidR="00272F7D" w:rsidRPr="009B0185">
        <w:rPr>
          <w:rFonts w:ascii="Maiandra GD" w:hAnsi="Maiandra GD"/>
          <w:lang w:val="es-EC"/>
          <w14:shadow w14:blurRad="50800" w14:dist="38100" w14:dir="2700000" w14:sx="100000" w14:sy="100000" w14:kx="0" w14:ky="0" w14:algn="tl">
            <w14:srgbClr w14:val="000000">
              <w14:alpha w14:val="60000"/>
            </w14:srgbClr>
          </w14:shadow>
        </w:rPr>
        <w:t xml:space="preserve">biblistas </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estudiosos de </w:t>
      </w:r>
      <w:r w:rsidR="00272F7D" w:rsidRPr="009B0185">
        <w:rPr>
          <w:rFonts w:ascii="Maiandra GD" w:hAnsi="Maiandra GD"/>
          <w:lang w:val="es-EC"/>
          <w14:shadow w14:blurRad="50800" w14:dist="38100" w14:dir="2700000" w14:sx="100000" w14:sy="100000" w14:kx="0" w14:ky="0" w14:algn="tl">
            <w14:srgbClr w14:val="000000">
              <w14:alpha w14:val="60000"/>
            </w14:srgbClr>
          </w14:shadow>
        </w:rPr>
        <w:t>este libro</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 </w:t>
      </w:r>
      <w:r w:rsidR="00272F7D" w:rsidRPr="009B0185">
        <w:rPr>
          <w:rFonts w:ascii="Maiandra GD" w:hAnsi="Maiandra GD"/>
          <w:lang w:val="es-EC"/>
          <w14:shadow w14:blurRad="50800" w14:dist="38100" w14:dir="2700000" w14:sx="100000" w14:sy="100000" w14:kx="0" w14:ky="0" w14:algn="tl">
            <w14:srgbClr w14:val="000000">
              <w14:alpha w14:val="60000"/>
            </w14:srgbClr>
          </w14:shadow>
        </w:rPr>
        <w:t xml:space="preserve">atendemos al contexto general de la Biblia y al espíritu evidente de Apocalipsis en su contenido. Y </w:t>
      </w:r>
      <w:r w:rsidRPr="009B0185">
        <w:rPr>
          <w:rFonts w:ascii="Maiandra GD" w:hAnsi="Maiandra GD"/>
          <w:lang w:val="es-EC"/>
          <w14:shadow w14:blurRad="50800" w14:dist="38100" w14:dir="2700000" w14:sx="100000" w14:sy="100000" w14:kx="0" w14:ky="0" w14:algn="tl">
            <w14:srgbClr w14:val="000000">
              <w14:alpha w14:val="60000"/>
            </w14:srgbClr>
          </w14:shadow>
        </w:rPr>
        <w:t xml:space="preserve">somos también eclécticos, atendiendo </w:t>
      </w:r>
      <w:r w:rsidR="00272F7D" w:rsidRPr="009B0185">
        <w:rPr>
          <w:rFonts w:ascii="Maiandra GD" w:hAnsi="Maiandra GD"/>
          <w:lang w:val="es-EC"/>
          <w14:shadow w14:blurRad="50800" w14:dist="38100" w14:dir="2700000" w14:sx="100000" w14:sy="100000" w14:kx="0" w14:ky="0" w14:algn="tl">
            <w14:srgbClr w14:val="000000">
              <w14:alpha w14:val="60000"/>
            </w14:srgbClr>
          </w14:shadow>
        </w:rPr>
        <w:t>a lo más coherente que pueda venir de alguna de las escuelas de interpretación.</w:t>
      </w:r>
    </w:p>
    <w:p w14:paraId="19BE9CEB" w14:textId="77777777" w:rsidR="0076133F" w:rsidRPr="009B0185" w:rsidRDefault="0076133F" w:rsidP="0076133F">
      <w:pPr>
        <w:spacing w:after="0"/>
        <w:jc w:val="both"/>
        <w:rPr>
          <w:rFonts w:ascii="Maiandra GD" w:hAnsi="Maiandra GD"/>
          <w:sz w:val="10"/>
          <w:szCs w:val="10"/>
          <w:lang w:val="es-EC"/>
          <w14:shadow w14:blurRad="50800" w14:dist="38100" w14:dir="2700000" w14:sx="100000" w14:sy="100000" w14:kx="0" w14:ky="0" w14:algn="tl">
            <w14:srgbClr w14:val="000000">
              <w14:alpha w14:val="60000"/>
            </w14:srgbClr>
          </w14:shadow>
        </w:rPr>
      </w:pPr>
    </w:p>
    <w:p w14:paraId="567AE06D" w14:textId="34620A09" w:rsidR="005766BD" w:rsidRPr="009B0185" w:rsidRDefault="00254C91" w:rsidP="001375A4">
      <w:pPr>
        <w:jc w:val="both"/>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 xml:space="preserve">No estamos buscando una posición neutral, como si quisiéramos no contender con </w:t>
      </w:r>
      <w:r w:rsidR="00DD1FB2"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lo que sostenga alguna interpretación</w:t>
      </w: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 xml:space="preserve"> en particular</w:t>
      </w:r>
      <w:r w:rsidR="00DD1FB2"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 xml:space="preserve">; cuando </w:t>
      </w:r>
      <w:r w:rsidR="00EC6F00" w:rsidRPr="009B0185">
        <w:rPr>
          <w:rFonts w:ascii="Maiandra GD" w:hAnsi="Maiandra GD"/>
          <w:b/>
          <w:bCs/>
          <w:color w:val="0070C0"/>
          <w:lang w:val="es-EC"/>
          <w14:shadow w14:blurRad="50800" w14:dist="38100" w14:dir="2700000" w14:sx="100000" w14:sy="100000" w14:kx="0" w14:ky="0" w14:algn="tl">
            <w14:srgbClr w14:val="000000">
              <w14:alpha w14:val="60000"/>
            </w14:srgbClr>
          </w14:shadow>
        </w:rPr>
        <w:t>sea del caso, tendremos que manifestar una firme oposición, a la luz de la Escritura.</w:t>
      </w:r>
    </w:p>
    <w:p w14:paraId="3B7B28EB" w14:textId="09463972" w:rsidR="00272F7D" w:rsidRPr="009B0185" w:rsidRDefault="00E34D17" w:rsidP="001375A4">
      <w:pPr>
        <w:jc w:val="both"/>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Diap. # </w:t>
      </w:r>
      <w:r w:rsidR="005766BD"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7</w:t>
      </w: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ab/>
      </w:r>
      <w:r w:rsidR="00272F7D" w:rsidRPr="009B0185">
        <w:rPr>
          <w:rFonts w:ascii="Maiandra GD" w:hAnsi="Maiandra GD"/>
          <w:b/>
          <w:bCs/>
          <w:color w:val="60CAF3" w:themeColor="accent4" w:themeTint="99"/>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Un bosquejo general de Apocalipsis.</w:t>
      </w:r>
    </w:p>
    <w:p w14:paraId="3F421E0F" w14:textId="51600E22" w:rsidR="00F20ABA" w:rsidRPr="009B0185" w:rsidRDefault="00F20ABA" w:rsidP="00F20ABA">
      <w:pPr>
        <w:jc w:val="both"/>
        <w:rPr>
          <w:rFonts w:ascii="Maiandra GD" w:hAnsi="Maiandra GD"/>
          <w:b/>
          <w:bCs/>
          <w:color w:val="0070C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Aunque habrá ocasiones en las que tendremos que entrar en exégesis, es decir, un análisis profundo de un texto buscando su intención original, no entraremos en niveles que estén lejos de nuestra comprensión promedio. Buscamos por eso realizar un estudio bíblico – pastoral, para nuestro conocimiento y nuestra edificación.</w:t>
      </w:r>
      <w:r w:rsidR="009A0441" w:rsidRPr="009B0185">
        <w:rPr>
          <w:rFonts w:ascii="Maiandra GD" w:hAnsi="Maiandra GD"/>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r w:rsidR="009A0441" w:rsidRPr="009B0185">
        <w:rPr>
          <w:rFonts w:ascii="Maiandra GD" w:hAnsi="Maiandra GD"/>
          <w:b/>
          <w:bCs/>
          <w:color w:val="0070C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Gracias a Dios, nuestra iglesia crece cada vez más en </w:t>
      </w:r>
      <w:r w:rsidR="00A709C7" w:rsidRPr="009B0185">
        <w:rPr>
          <w:rFonts w:ascii="Maiandra GD" w:hAnsi="Maiandra GD"/>
          <w:b/>
          <w:bCs/>
          <w:color w:val="0070C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el conocimiento y entendimiento de la Palabra de Dios, pero la sencillez enseña siempre mejor que la sabiondez</w:t>
      </w:r>
      <w:r w:rsidR="00392161" w:rsidRPr="009B0185">
        <w:rPr>
          <w:rFonts w:ascii="Maiandra GD" w:hAnsi="Maiandra GD"/>
          <w:b/>
          <w:bCs/>
          <w:color w:val="0070C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y esto último no es apreciado por nosotros.</w:t>
      </w:r>
    </w:p>
    <w:p w14:paraId="6688043B" w14:textId="77777777" w:rsidR="00F20ABA" w:rsidRPr="009B0185" w:rsidRDefault="00F20ABA" w:rsidP="00F20ABA">
      <w:pPr>
        <w:jc w:val="both"/>
        <w:rPr>
          <w:rFonts w:ascii="Maiandra GD" w:hAnsi="Maiandra GD"/>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Aquí presentamos 8 módulos generales, cuyo contenido será presentado progresivamente para nuestro entendimiento y, siempre que sea posible, para el beneficio de nuestra espiritualidad.</w:t>
      </w:r>
    </w:p>
    <w:p w14:paraId="0B174306" w14:textId="77777777" w:rsidR="00F20ABA" w:rsidRPr="009B0185" w:rsidRDefault="00F20ABA" w:rsidP="00F20ABA">
      <w:pPr>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MÓDULO 1 – LA REVELACIÓN DE JESUCRISTO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cap.1</w:t>
      </w: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w:t>
      </w:r>
    </w:p>
    <w:p w14:paraId="1672ECC3" w14:textId="77777777" w:rsidR="00F20ABA" w:rsidRPr="009B0185" w:rsidRDefault="00F20ABA" w:rsidP="00F20ABA">
      <w:pPr>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MÓDULO 2 – LAS SIETE IGLESIAS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caps. 2 – 3</w:t>
      </w: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p>
    <w:p w14:paraId="51F1B56D" w14:textId="77777777" w:rsidR="00F20ABA" w:rsidRPr="009B0185" w:rsidRDefault="00F20ABA" w:rsidP="00F20ABA">
      <w:pPr>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MÓDULO 3 – EL TRONO Y EL CORDERO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caps. 4 – 5</w:t>
      </w: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p>
    <w:p w14:paraId="40CA0677" w14:textId="77777777" w:rsidR="00F20ABA" w:rsidRPr="009B0185" w:rsidRDefault="00F20ABA" w:rsidP="00F20ABA">
      <w:pPr>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MÓDULO 4 – SELLOS, TROMPETAS Y COPAS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caps. 6 – 16</w:t>
      </w: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p>
    <w:p w14:paraId="196E0A19" w14:textId="0A77C804" w:rsidR="00AD204E" w:rsidRPr="009B0185" w:rsidRDefault="00E34D17" w:rsidP="00F20ABA">
      <w:pPr>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Diap. # </w:t>
      </w:r>
      <w:r w:rsidR="005766BD" w:rsidRPr="009B0185">
        <w:rPr>
          <w:rFonts w:ascii="Maiandra GD" w:hAnsi="Maiandra GD"/>
          <w:b/>
          <w:bCs/>
          <w:color w:val="C00000"/>
          <w:sz w:val="28"/>
          <w:szCs w:val="28"/>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8</w:t>
      </w:r>
    </w:p>
    <w:p w14:paraId="2ED40E4C" w14:textId="77777777" w:rsidR="00607134" w:rsidRPr="009B0185" w:rsidRDefault="00607134" w:rsidP="00607134">
      <w:pPr>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MÓDULO 5 – BABILONIA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caps. 17 – 18</w:t>
      </w: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w:t>
      </w:r>
    </w:p>
    <w:p w14:paraId="1835485D" w14:textId="77777777" w:rsidR="00607134" w:rsidRPr="009B0185" w:rsidRDefault="00607134" w:rsidP="00607134">
      <w:pPr>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MÓDULO 6 – LA VICTORIA DEL CORDERO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cap. 19</w:t>
      </w: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p>
    <w:p w14:paraId="4F25C797" w14:textId="77777777" w:rsidR="00607134" w:rsidRPr="009B0185" w:rsidRDefault="00607134" w:rsidP="00607134">
      <w:pPr>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lastRenderedPageBreak/>
        <w:t>MÓDULO 7 – EL MILENIO Y EL JUICIO FINAL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cap. 20</w:t>
      </w: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p>
    <w:p w14:paraId="7766C158" w14:textId="77777777" w:rsidR="00607134" w:rsidRPr="009B0185" w:rsidRDefault="00607134" w:rsidP="004B2987">
      <w:pPr>
        <w:spacing w:after="0"/>
        <w:jc w:val="both"/>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MÓDULO 8 – CIELOS NUEVOS Y TIERRA NUEVA (</w:t>
      </w:r>
      <w:r w:rsidRPr="009B0185">
        <w:rPr>
          <w:rFonts w:ascii="Maiandra GD" w:hAnsi="Maiandra GD"/>
          <w:b/>
          <w:bCs/>
          <w:color w:val="0000FF"/>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caps. 21 – 22</w:t>
      </w:r>
      <w:r w:rsidRPr="009B0185">
        <w:rPr>
          <w:rFonts w:ascii="Maiandra GD" w:hAnsi="Maiandra GD"/>
          <w:b/>
          <w:bCs/>
          <w:color w:val="C0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p>
    <w:p w14:paraId="79DC3A6D" w14:textId="77777777" w:rsidR="004B2987" w:rsidRPr="009B0185" w:rsidRDefault="004B2987" w:rsidP="004B2987">
      <w:pPr>
        <w:spacing w:after="0"/>
        <w:jc w:val="both"/>
        <w:rPr>
          <w:rFonts w:ascii="Maiandra GD" w:hAnsi="Maiandra GD"/>
          <w:b/>
          <w:bCs/>
          <w:color w:val="C00000"/>
          <w:sz w:val="6"/>
          <w:szCs w:val="6"/>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3C1456D6" w14:textId="77777777" w:rsidR="00607134" w:rsidRPr="009B0185" w:rsidRDefault="00607134" w:rsidP="00A422FA">
      <w:pPr>
        <w:spacing w:after="0"/>
        <w:jc w:val="both"/>
        <w:rPr>
          <w:rFonts w:ascii="Maiandra GD" w:hAnsi="Maiandra GD"/>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Y en cada sesión atenderemos al mensaje claro del texto, lo que pudo haber significado en su tiempo y cómo es pertinente para nuestra vida.</w:t>
      </w:r>
    </w:p>
    <w:p w14:paraId="7D9AC62F" w14:textId="77777777" w:rsidR="00A422FA" w:rsidRPr="009B0185" w:rsidRDefault="00A422FA" w:rsidP="00A422FA">
      <w:pPr>
        <w:spacing w:after="0"/>
        <w:jc w:val="both"/>
        <w:rPr>
          <w:rFonts w:ascii="Maiandra GD" w:hAnsi="Maiandra GD"/>
          <w:sz w:val="6"/>
          <w:szCs w:val="6"/>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735431F8" w14:textId="77777777" w:rsidR="00607134" w:rsidRPr="009B0185" w:rsidRDefault="00607134" w:rsidP="00A422FA">
      <w:pPr>
        <w:spacing w:after="0"/>
        <w:jc w:val="both"/>
        <w:rPr>
          <w:rFonts w:ascii="Maiandra GD" w:hAnsi="Maiandra GD"/>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Nuestro consejo para cada participante es ir leyendo el libro de Apocalipsis para empezar a familiarizarnos con su contenido, su espíritu y su riqueza espiritual para el desarrollo de nuestra fe.</w:t>
      </w:r>
    </w:p>
    <w:p w14:paraId="05B65826" w14:textId="77777777" w:rsidR="00A422FA" w:rsidRPr="009B0185" w:rsidRDefault="00A422FA" w:rsidP="00A422FA">
      <w:pPr>
        <w:spacing w:after="0"/>
        <w:jc w:val="both"/>
        <w:rPr>
          <w:rFonts w:ascii="Maiandra GD" w:hAnsi="Maiandra GD"/>
          <w:sz w:val="6"/>
          <w:szCs w:val="6"/>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49DC49C7" w14:textId="73E6561A" w:rsidR="00EC6D34" w:rsidRPr="009B0185" w:rsidRDefault="00EC6D34" w:rsidP="00607134">
      <w:pPr>
        <w:jc w:val="both"/>
        <w:rPr>
          <w:rFonts w:ascii="Maiandra GD" w:hAnsi="Maiandra GD"/>
          <w:b/>
          <w:bCs/>
          <w:color w:val="0070C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color w:val="0070C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Haremos bien en leer juntos </w:t>
      </w:r>
      <w:r w:rsidR="006E3BE0" w:rsidRPr="009B0185">
        <w:rPr>
          <w:rFonts w:ascii="Maiandra GD" w:hAnsi="Maiandra GD"/>
          <w:b/>
          <w:bCs/>
          <w:color w:val="0070C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el gran verso motivador que desde el principio fue mencionado</w:t>
      </w:r>
      <w:r w:rsidR="001E6D01" w:rsidRPr="009B0185">
        <w:rPr>
          <w:rFonts w:ascii="Maiandra GD" w:hAnsi="Maiandra GD"/>
          <w:b/>
          <w:bCs/>
          <w:color w:val="0070C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para el estudio de Apocalipsis:</w:t>
      </w:r>
    </w:p>
    <w:p w14:paraId="000DFC52" w14:textId="2D862AE3" w:rsidR="00607134" w:rsidRPr="009B0185" w:rsidRDefault="00607134" w:rsidP="00AD204E">
      <w:pPr>
        <w:spacing w:after="0"/>
        <w:jc w:val="center"/>
        <w:rPr>
          <w:rFonts w:ascii="Maiandra GD" w:hAnsi="Maiandra GD"/>
          <w:b/>
          <w:bCs/>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i/>
          <w:iCs/>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“Bienaventurado el que lee, y los que oyen las palabras</w:t>
      </w:r>
    </w:p>
    <w:p w14:paraId="339587C4" w14:textId="77777777" w:rsidR="00607134" w:rsidRPr="009B0185" w:rsidRDefault="00607134" w:rsidP="00AD204E">
      <w:pPr>
        <w:spacing w:after="0"/>
        <w:jc w:val="center"/>
        <w:rPr>
          <w:rFonts w:ascii="Maiandra GD" w:hAnsi="Maiandra GD"/>
          <w:b/>
          <w:bCs/>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i/>
          <w:iCs/>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de esta profecía, y guardan las cosas en ella escritas;</w:t>
      </w:r>
    </w:p>
    <w:p w14:paraId="0A8649F7" w14:textId="0F281D16" w:rsidR="00607134" w:rsidRPr="009B0185" w:rsidRDefault="00607134" w:rsidP="00AD204E">
      <w:pPr>
        <w:spacing w:after="0"/>
        <w:jc w:val="center"/>
        <w:rPr>
          <w:rFonts w:ascii="Maiandra GD" w:hAnsi="Maiandra GD"/>
          <w:b/>
          <w:bCs/>
          <w:color w:val="0000FF"/>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9B0185">
        <w:rPr>
          <w:rFonts w:ascii="Maiandra GD" w:hAnsi="Maiandra GD"/>
          <w:b/>
          <w:bCs/>
          <w:i/>
          <w:iCs/>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porque el tiempo está cerca.”</w:t>
      </w:r>
      <w:r w:rsidRPr="009B0185">
        <w:rPr>
          <w:rFonts w:ascii="Maiandra GD" w:hAnsi="Maiandra GD"/>
          <w:i/>
          <w:iCs/>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w:t>
      </w:r>
      <w:r w:rsidRPr="009B0185">
        <w:rPr>
          <w:rFonts w:ascii="Maiandra GD" w:hAnsi="Maiandra GD"/>
          <w:b/>
          <w:bCs/>
          <w:color w:val="0000FF"/>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Apocalipsis 1:3</w:t>
      </w:r>
    </w:p>
    <w:p w14:paraId="7CA593CB" w14:textId="77777777" w:rsidR="00A422FA" w:rsidRPr="009B0185" w:rsidRDefault="00A422FA" w:rsidP="00AD204E">
      <w:pPr>
        <w:spacing w:after="0"/>
        <w:jc w:val="center"/>
        <w:rPr>
          <w:rFonts w:ascii="Maiandra GD" w:hAnsi="Maiandra GD"/>
          <w:sz w:val="6"/>
          <w:szCs w:val="6"/>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p>
    <w:p w14:paraId="21CC4B51" w14:textId="26AD849E" w:rsidR="006005B2" w:rsidRPr="009B0185" w:rsidRDefault="001F5BEF" w:rsidP="0099115D">
      <w:pPr>
        <w:jc w:val="both"/>
        <w:rPr>
          <w:rFonts w:ascii="Maiandra GD" w:hAnsi="Maiandra GD"/>
          <w:lang w:val="es-EC"/>
          <w14:shadow w14:blurRad="50800" w14:dist="38100" w14:dir="2700000" w14:sx="100000" w14:sy="100000" w14:kx="0" w14:ky="0" w14:algn="tl">
            <w14:srgbClr w14:val="000000">
              <w14:alpha w14:val="60000"/>
            </w14:srgbClr>
          </w14:shadow>
        </w:rPr>
      </w:pPr>
      <w:r w:rsidRPr="009B0185">
        <w:rPr>
          <w:rFonts w:ascii="Maiandra GD" w:hAnsi="Maiandra GD"/>
          <w:b/>
          <w:bCs/>
          <w:color w:val="EE0000"/>
          <w:lang w:val="es-EC"/>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t xml:space="preserve">Sugerencia: </w:t>
      </w:r>
      <w:r w:rsidR="004B2987" w:rsidRPr="009B0185">
        <w:rPr>
          <w:rFonts w:ascii="Maiandra GD" w:hAnsi="Maiandra GD"/>
          <w:b/>
          <w:bCs/>
          <w:color w:val="EE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Finalizar con el canto “El volverá”. Orar pidiendo</w:t>
      </w:r>
      <w:r w:rsidR="00C13E5D" w:rsidRPr="009B0185">
        <w:rPr>
          <w:rFonts w:ascii="Maiandra GD" w:hAnsi="Maiandra GD"/>
          <w:b/>
          <w:bCs/>
          <w:color w:val="EE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la bendición de Dios sobre todos </w:t>
      </w:r>
      <w:r w:rsidR="0099115D" w:rsidRPr="009B0185">
        <w:rPr>
          <w:rFonts w:ascii="Maiandra GD" w:hAnsi="Maiandra GD"/>
          <w:b/>
          <w:bCs/>
          <w:color w:val="EE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al estudiar y reflexionar sobre el libro de Apocalipsis.</w:t>
      </w:r>
      <w:r w:rsidR="008E6423" w:rsidRPr="009B0185">
        <w:rPr>
          <w:rFonts w:ascii="Maiandra GD" w:hAnsi="Maiandra GD"/>
          <w:b/>
          <w:bCs/>
          <w:color w:val="EE0000"/>
          <w:lang w:val="es-EC"/>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 xml:space="preserve"> (Marcos Witt)</w:t>
      </w:r>
    </w:p>
    <w:sectPr w:rsidR="006005B2" w:rsidRPr="009B01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776"/>
    <w:multiLevelType w:val="hybridMultilevel"/>
    <w:tmpl w:val="8F542BDA"/>
    <w:lvl w:ilvl="0" w:tplc="05223848">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709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B2"/>
    <w:rsid w:val="0002390C"/>
    <w:rsid w:val="0005167F"/>
    <w:rsid w:val="000B5F3B"/>
    <w:rsid w:val="000E20C7"/>
    <w:rsid w:val="001375A4"/>
    <w:rsid w:val="00153DF7"/>
    <w:rsid w:val="001E6D01"/>
    <w:rsid w:val="001F5BEF"/>
    <w:rsid w:val="00254C91"/>
    <w:rsid w:val="00272F7D"/>
    <w:rsid w:val="002A52FA"/>
    <w:rsid w:val="00392161"/>
    <w:rsid w:val="004301E4"/>
    <w:rsid w:val="00491152"/>
    <w:rsid w:val="004B2987"/>
    <w:rsid w:val="004E13AC"/>
    <w:rsid w:val="00517727"/>
    <w:rsid w:val="005766BD"/>
    <w:rsid w:val="006005B2"/>
    <w:rsid w:val="00607134"/>
    <w:rsid w:val="006E3BE0"/>
    <w:rsid w:val="0072070D"/>
    <w:rsid w:val="0076133F"/>
    <w:rsid w:val="007865F7"/>
    <w:rsid w:val="007F62B2"/>
    <w:rsid w:val="00814258"/>
    <w:rsid w:val="00816202"/>
    <w:rsid w:val="0082609F"/>
    <w:rsid w:val="00845960"/>
    <w:rsid w:val="00851D35"/>
    <w:rsid w:val="008E6423"/>
    <w:rsid w:val="0099115D"/>
    <w:rsid w:val="009A0441"/>
    <w:rsid w:val="009B0185"/>
    <w:rsid w:val="00A24845"/>
    <w:rsid w:val="00A422FA"/>
    <w:rsid w:val="00A709C7"/>
    <w:rsid w:val="00AD204E"/>
    <w:rsid w:val="00C13E5D"/>
    <w:rsid w:val="00C338B5"/>
    <w:rsid w:val="00CF382A"/>
    <w:rsid w:val="00D511C9"/>
    <w:rsid w:val="00DD1FB2"/>
    <w:rsid w:val="00E34D17"/>
    <w:rsid w:val="00E626F8"/>
    <w:rsid w:val="00E66793"/>
    <w:rsid w:val="00EC6D34"/>
    <w:rsid w:val="00EC6F00"/>
    <w:rsid w:val="00F20ABA"/>
    <w:rsid w:val="00F24F3A"/>
    <w:rsid w:val="00F323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8407"/>
  <w15:chartTrackingRefBased/>
  <w15:docId w15:val="{A5D749A8-0297-4529-B82D-ED4BF8A7B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0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0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05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05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05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05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05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05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05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05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05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05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05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05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05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05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05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05B2"/>
    <w:rPr>
      <w:rFonts w:eastAsiaTheme="majorEastAsia" w:cstheme="majorBidi"/>
      <w:color w:val="272727" w:themeColor="text1" w:themeTint="D8"/>
    </w:rPr>
  </w:style>
  <w:style w:type="paragraph" w:styleId="Ttulo">
    <w:name w:val="Title"/>
    <w:basedOn w:val="Normal"/>
    <w:next w:val="Normal"/>
    <w:link w:val="TtuloCar"/>
    <w:uiPriority w:val="10"/>
    <w:qFormat/>
    <w:rsid w:val="00600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05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05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05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05B2"/>
    <w:pPr>
      <w:spacing w:before="160"/>
      <w:jc w:val="center"/>
    </w:pPr>
    <w:rPr>
      <w:i/>
      <w:iCs/>
      <w:color w:val="404040" w:themeColor="text1" w:themeTint="BF"/>
    </w:rPr>
  </w:style>
  <w:style w:type="character" w:customStyle="1" w:styleId="CitaCar">
    <w:name w:val="Cita Car"/>
    <w:basedOn w:val="Fuentedeprrafopredeter"/>
    <w:link w:val="Cita"/>
    <w:uiPriority w:val="29"/>
    <w:rsid w:val="006005B2"/>
    <w:rPr>
      <w:i/>
      <w:iCs/>
      <w:color w:val="404040" w:themeColor="text1" w:themeTint="BF"/>
    </w:rPr>
  </w:style>
  <w:style w:type="paragraph" w:styleId="Prrafodelista">
    <w:name w:val="List Paragraph"/>
    <w:basedOn w:val="Normal"/>
    <w:uiPriority w:val="34"/>
    <w:qFormat/>
    <w:rsid w:val="006005B2"/>
    <w:pPr>
      <w:ind w:left="720"/>
      <w:contextualSpacing/>
    </w:pPr>
  </w:style>
  <w:style w:type="character" w:styleId="nfasisintenso">
    <w:name w:val="Intense Emphasis"/>
    <w:basedOn w:val="Fuentedeprrafopredeter"/>
    <w:uiPriority w:val="21"/>
    <w:qFormat/>
    <w:rsid w:val="006005B2"/>
    <w:rPr>
      <w:i/>
      <w:iCs/>
      <w:color w:val="0F4761" w:themeColor="accent1" w:themeShade="BF"/>
    </w:rPr>
  </w:style>
  <w:style w:type="paragraph" w:styleId="Citadestacada">
    <w:name w:val="Intense Quote"/>
    <w:basedOn w:val="Normal"/>
    <w:next w:val="Normal"/>
    <w:link w:val="CitadestacadaCar"/>
    <w:uiPriority w:val="30"/>
    <w:qFormat/>
    <w:rsid w:val="00600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05B2"/>
    <w:rPr>
      <w:i/>
      <w:iCs/>
      <w:color w:val="0F4761" w:themeColor="accent1" w:themeShade="BF"/>
    </w:rPr>
  </w:style>
  <w:style w:type="character" w:styleId="Referenciaintensa">
    <w:name w:val="Intense Reference"/>
    <w:basedOn w:val="Fuentedeprrafopredeter"/>
    <w:uiPriority w:val="32"/>
    <w:qFormat/>
    <w:rsid w:val="00600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4</Pages>
  <Words>896</Words>
  <Characters>5111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Neyo Pin</dc:creator>
  <cp:keywords/>
  <dc:description/>
  <cp:lastModifiedBy>Neyo Pin</cp:lastModifiedBy>
  <cp:revision>37</cp:revision>
  <dcterms:created xsi:type="dcterms:W3CDTF">2026-06-12T16:03:00Z</dcterms:created>
  <dcterms:modified xsi:type="dcterms:W3CDTF">2026-06-13T00:41:00Z</dcterms:modified>
</cp:coreProperties>
</file>