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ssm4e03lk6rg" w:id="0"/>
      <w:bookmarkEnd w:id="0"/>
      <w:r w:rsidDel="00000000" w:rsidR="00000000" w:rsidRPr="00000000">
        <w:rPr>
          <w:rtl w:val="0"/>
        </w:rPr>
        <w:t xml:space="preserve">A guide to Key Performance Indicators( KPIs) for the Senior Financial Analyst</w:t>
      </w:r>
    </w:p>
    <w:p w:rsidR="00000000" w:rsidDel="00000000" w:rsidP="00000000" w:rsidRDefault="00000000" w:rsidRPr="00000000" w14:paraId="00000002">
      <w:pPr>
        <w:pStyle w:val="Heading1"/>
        <w:rPr/>
      </w:pPr>
      <w:bookmarkStart w:colFirst="0" w:colLast="0" w:name="_1dewqkphnaf5" w:id="1"/>
      <w:bookmarkEnd w:id="1"/>
      <w:r w:rsidDel="00000000" w:rsidR="00000000" w:rsidRPr="00000000">
        <w:rPr>
          <w:rtl w:val="0"/>
        </w:rPr>
        <w:t xml:space="preserve">Section 1: Instructions for using the KPI Guide in your Performance Management System</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numPr>
          <w:ilvl w:val="0"/>
          <w:numId w:val="1"/>
        </w:numPr>
        <w:ind w:left="720" w:hanging="360"/>
        <w:rPr/>
      </w:pPr>
      <w:r w:rsidDel="00000000" w:rsidR="00000000" w:rsidRPr="00000000">
        <w:rPr>
          <w:rtl w:val="0"/>
        </w:rPr>
        <w:t xml:space="preserve">Identify the relevant KPIs: Depending on your role in the organization, you may want to focus on different KPIs. For example, HR professionals may want to track cost per hire, while managers may be more interested in the time-to-fill metric.</w:t>
      </w:r>
    </w:p>
    <w:p w:rsidR="00000000" w:rsidDel="00000000" w:rsidP="00000000" w:rsidRDefault="00000000" w:rsidRPr="00000000" w14:paraId="00000005">
      <w:pPr>
        <w:ind w:left="720" w:firstLine="0"/>
        <w:rPr/>
      </w:pPr>
      <w:r w:rsidDel="00000000" w:rsidR="00000000" w:rsidRPr="00000000">
        <w:rPr>
          <w:rtl w:val="0"/>
        </w:rPr>
      </w:r>
    </w:p>
    <w:p w:rsidR="00000000" w:rsidDel="00000000" w:rsidP="00000000" w:rsidRDefault="00000000" w:rsidRPr="00000000" w14:paraId="00000006">
      <w:pPr>
        <w:numPr>
          <w:ilvl w:val="0"/>
          <w:numId w:val="1"/>
        </w:numPr>
        <w:ind w:left="720" w:hanging="360"/>
        <w:rPr/>
      </w:pPr>
      <w:r w:rsidDel="00000000" w:rsidR="00000000" w:rsidRPr="00000000">
        <w:rPr>
          <w:rtl w:val="0"/>
        </w:rPr>
        <w:t xml:space="preserve">Determine the time frame: Decide on the time frame for tracking each KPI. For example, you may choose to track the number of qualified technical candidates sourced and engaged per month.</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numPr>
          <w:ilvl w:val="0"/>
          <w:numId w:val="1"/>
        </w:numPr>
        <w:ind w:left="720" w:hanging="360"/>
        <w:rPr/>
      </w:pPr>
      <w:r w:rsidDel="00000000" w:rsidR="00000000" w:rsidRPr="00000000">
        <w:rPr>
          <w:rtl w:val="0"/>
        </w:rPr>
        <w:t xml:space="preserve">Collect the data: Collect the necessary data to calculate each KPI. For example, to calculate the candidate acceptance rate, you will need to  know the number of job offers accepted and the total number of job offers.</w:t>
      </w:r>
    </w:p>
    <w:p w:rsidR="00000000" w:rsidDel="00000000" w:rsidP="00000000" w:rsidRDefault="00000000" w:rsidRPr="00000000" w14:paraId="00000009">
      <w:pPr>
        <w:ind w:left="720" w:firstLine="0"/>
        <w:rPr/>
      </w:pPr>
      <w:r w:rsidDel="00000000" w:rsidR="00000000" w:rsidRPr="00000000">
        <w:rPr>
          <w:rtl w:val="0"/>
        </w:rPr>
      </w:r>
    </w:p>
    <w:p w:rsidR="00000000" w:rsidDel="00000000" w:rsidP="00000000" w:rsidRDefault="00000000" w:rsidRPr="00000000" w14:paraId="0000000A">
      <w:pPr>
        <w:numPr>
          <w:ilvl w:val="0"/>
          <w:numId w:val="1"/>
        </w:numPr>
        <w:ind w:left="720" w:hanging="360"/>
        <w:rPr/>
      </w:pPr>
      <w:r w:rsidDel="00000000" w:rsidR="00000000" w:rsidRPr="00000000">
        <w:rPr>
          <w:rtl w:val="0"/>
        </w:rPr>
        <w:t xml:space="preserve">Calculate the KPIs: Use the formulas provided in the table to calculate each KPI.</w:t>
      </w:r>
    </w:p>
    <w:p w:rsidR="00000000" w:rsidDel="00000000" w:rsidP="00000000" w:rsidRDefault="00000000" w:rsidRPr="00000000" w14:paraId="0000000B">
      <w:pPr>
        <w:ind w:left="720" w:firstLine="0"/>
        <w:rPr/>
      </w:pPr>
      <w:r w:rsidDel="00000000" w:rsidR="00000000" w:rsidRPr="00000000">
        <w:rPr>
          <w:rtl w:val="0"/>
        </w:rPr>
      </w:r>
    </w:p>
    <w:p w:rsidR="00000000" w:rsidDel="00000000" w:rsidP="00000000" w:rsidRDefault="00000000" w:rsidRPr="00000000" w14:paraId="0000000C">
      <w:pPr>
        <w:numPr>
          <w:ilvl w:val="0"/>
          <w:numId w:val="1"/>
        </w:numPr>
        <w:ind w:left="720" w:hanging="360"/>
        <w:rPr/>
      </w:pPr>
      <w:r w:rsidDel="00000000" w:rsidR="00000000" w:rsidRPr="00000000">
        <w:rPr>
          <w:rtl w:val="0"/>
        </w:rPr>
        <w:t xml:space="preserve">Interpret the results: Once you have calculated the KPIs, interpret the results to evaluate the effectiveness of the performance management system. For example, if the time-to-fill metric is high, it may indicate that the recruitment process needs to be streamlined.</w:t>
      </w:r>
    </w:p>
    <w:p w:rsidR="00000000" w:rsidDel="00000000" w:rsidP="00000000" w:rsidRDefault="00000000" w:rsidRPr="00000000" w14:paraId="0000000D">
      <w:pPr>
        <w:ind w:left="720" w:firstLine="0"/>
        <w:rPr/>
      </w:pPr>
      <w:r w:rsidDel="00000000" w:rsidR="00000000" w:rsidRPr="00000000">
        <w:rPr>
          <w:rtl w:val="0"/>
        </w:rPr>
      </w:r>
    </w:p>
    <w:p w:rsidR="00000000" w:rsidDel="00000000" w:rsidP="00000000" w:rsidRDefault="00000000" w:rsidRPr="00000000" w14:paraId="0000000E">
      <w:pPr>
        <w:numPr>
          <w:ilvl w:val="0"/>
          <w:numId w:val="1"/>
        </w:numPr>
        <w:ind w:left="720" w:hanging="360"/>
        <w:rPr/>
      </w:pPr>
      <w:r w:rsidDel="00000000" w:rsidR="00000000" w:rsidRPr="00000000">
        <w:rPr>
          <w:rtl w:val="0"/>
        </w:rPr>
        <w:t xml:space="preserve">Use the results to make improvements: Regularly collect the necessary data for each KPI.  Keep track of the results over time to monitor performance, identify areas for improvement, and ensure compliance with regulations. Use the insights gained from the KPIs to make improvements to the performance management system. For example, if the candidate satisfaction rate with the recruitment process is low, consider making changes to improve the candidate experience.</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pStyle w:val="Heading1"/>
        <w:rPr/>
      </w:pPr>
      <w:bookmarkStart w:colFirst="0" w:colLast="0" w:name="_p60m2533t1n8" w:id="2"/>
      <w:bookmarkEnd w:id="2"/>
      <w:r w:rsidDel="00000000" w:rsidR="00000000" w:rsidRPr="00000000">
        <w:rPr>
          <w:rtl w:val="0"/>
        </w:rPr>
        <w:t xml:space="preserve">Section 2: Key Performance Indicators For Role Senior Financial Analyst</w:t>
      </w:r>
    </w:p>
    <w:p w:rsidR="00000000" w:rsidDel="00000000" w:rsidP="00000000" w:rsidRDefault="00000000" w:rsidRPr="00000000" w14:paraId="00000012">
      <w:pPr>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43.177570093458"/>
        <w:gridCol w:w="3863.551401869159"/>
        <w:gridCol w:w="3353.2710280373835"/>
        <w:tblGridChange w:id="0">
          <w:tblGrid>
            <w:gridCol w:w="2143.177570093458"/>
            <w:gridCol w:w="3863.551401869159"/>
            <w:gridCol w:w="3353.2710280373835"/>
          </w:tblGrid>
        </w:tblGridChange>
      </w:tblGrid>
      <w:tr>
        <w:trPr>
          <w:cantSplit w:val="0"/>
          <w:trHeight w:val="315" w:hRule="atLeast"/>
          <w:tblHeader w:val="0"/>
        </w:trPr>
        <w:tc>
          <w:tcPr>
            <w:tcBorders>
              <w:top w:color="d9d9e3" w:space="0" w:sz="8" w:val="single"/>
              <w:left w:color="d9d9e3" w:space="0" w:sz="8" w:val="single"/>
              <w:bottom w:color="d9d9e3" w:space="0" w:sz="8" w:val="single"/>
              <w:right w:color="d9d9e3" w:space="0" w:sz="8" w:val="single"/>
            </w:tcBorders>
            <w:tcMar>
              <w:top w:w="20.0" w:type="dxa"/>
              <w:left w:w="20.0" w:type="dxa"/>
              <w:bottom w:w="20.0" w:type="dxa"/>
              <w:right w:w="20.0" w:type="dxa"/>
            </w:tcMar>
            <w:vAlign w:val="bottom"/>
          </w:tcPr>
          <w:p w:rsidR="00000000" w:rsidDel="00000000" w:rsidP="00000000" w:rsidRDefault="00000000" w:rsidRPr="00000000" w14:paraId="00000013">
            <w:pPr>
              <w:spacing w:after="240" w:before="240" w:lineRule="auto"/>
              <w:rPr>
                <w:b w:val="1"/>
                <w:bCs w:val="1"/>
                <w:i w:val="1"/>
                <w:iCs w:val="1"/>
              </w:rPr>
            </w:pPr>
            <w:r w:rsidDel="00000000" w:rsidR="00000000" w:rsidRPr="00000000">
              <w:rPr>
                <w:b w:val="1"/>
                <w:bCs w:val="1"/>
                <w:i w:val="1"/>
                <w:iCs w:val="1"/>
                <w:rtl w:val="0"/>
              </w:rPr>
              <w:t xml:space="preserve">KPI</w:t>
            </w:r>
          </w:p>
        </w:tc>
        <w:tc>
          <w:tcPr>
            <w:tcBorders>
              <w:top w:color="d9d9e3" w:space="0" w:sz="8" w:val="single"/>
              <w:left w:color="d9d9e3" w:space="0" w:sz="8" w:val="single"/>
              <w:bottom w:color="d9d9e3" w:space="0" w:sz="8" w:val="single"/>
              <w:right w:color="d9d9e3" w:space="0" w:sz="8" w:val="single"/>
            </w:tcBorders>
            <w:tcMar>
              <w:top w:w="20.0" w:type="dxa"/>
              <w:left w:w="20.0" w:type="dxa"/>
              <w:bottom w:w="20.0" w:type="dxa"/>
              <w:right w:w="20.0" w:type="dxa"/>
            </w:tcMar>
            <w:vAlign w:val="bottom"/>
          </w:tcPr>
          <w:p w:rsidR="00000000" w:rsidDel="00000000" w:rsidP="00000000" w:rsidRDefault="00000000" w:rsidRPr="00000000" w14:paraId="00000014">
            <w:pPr>
              <w:spacing w:after="240" w:before="240" w:lineRule="auto"/>
              <w:rPr>
                <w:b w:val="1"/>
                <w:bCs w:val="1"/>
                <w:i w:val="1"/>
                <w:iCs w:val="1"/>
              </w:rPr>
            </w:pPr>
            <w:r w:rsidDel="00000000" w:rsidR="00000000" w:rsidRPr="00000000">
              <w:rPr>
                <w:b w:val="1"/>
                <w:bCs w:val="1"/>
                <w:i w:val="1"/>
                <w:iCs w:val="1"/>
                <w:rtl w:val="0"/>
              </w:rPr>
              <w:t xml:space="preserve">Detailed Description</w:t>
            </w:r>
          </w:p>
        </w:tc>
        <w:tc>
          <w:tcPr>
            <w:tcBorders>
              <w:top w:color="d9d9e3" w:space="0" w:sz="8" w:val="single"/>
              <w:left w:color="d9d9e3" w:space="0" w:sz="8" w:val="single"/>
              <w:bottom w:color="d9d9e3" w:space="0" w:sz="8" w:val="single"/>
              <w:right w:color="d9d9e3" w:space="0" w:sz="8" w:val="single"/>
            </w:tcBorders>
            <w:tcMar>
              <w:top w:w="20.0" w:type="dxa"/>
              <w:left w:w="20.0" w:type="dxa"/>
              <w:bottom w:w="20.0" w:type="dxa"/>
              <w:right w:w="20.0" w:type="dxa"/>
            </w:tcMar>
            <w:vAlign w:val="bottom"/>
          </w:tcPr>
          <w:p w:rsidR="00000000" w:rsidDel="00000000" w:rsidP="00000000" w:rsidRDefault="00000000" w:rsidRPr="00000000" w14:paraId="00000015">
            <w:pPr>
              <w:spacing w:after="240" w:before="240" w:lineRule="auto"/>
              <w:rPr>
                <w:b w:val="1"/>
                <w:bCs w:val="1"/>
                <w:i w:val="1"/>
                <w:iCs w:val="1"/>
              </w:rPr>
            </w:pPr>
            <w:r w:rsidDel="00000000" w:rsidR="00000000" w:rsidRPr="00000000">
              <w:rPr>
                <w:b w:val="1"/>
                <w:bCs w:val="1"/>
                <w:i w:val="1"/>
                <w:iCs w:val="1"/>
                <w:rtl w:val="0"/>
              </w:rPr>
              <w:t xml:space="preserve">Formula</w:t>
            </w:r>
          </w:p>
        </w:tc>
      </w:tr>
      <w:tr>
        <w:trPr>
          <w:cantSplit w:val="0"/>
          <w:trHeight w:val="825" w:hRule="atLeast"/>
          <w:tblHeader w:val="0"/>
        </w:trPr>
        <w:tc>
          <w:tcPr>
            <w:tcBorders>
              <w:top w:color="d9d9e3" w:space="0" w:sz="8" w:val="single"/>
              <w:left w:color="d9d9e3" w:space="0" w:sz="8" w:val="single"/>
              <w:bottom w:color="d9d9e3" w:space="0" w:sz="8" w:val="single"/>
              <w:right w:color="d9d9e3" w:space="0" w:sz="8" w:val="single"/>
            </w:tcBorders>
            <w:tcMar>
              <w:top w:w="20.0" w:type="dxa"/>
              <w:left w:w="20.0" w:type="dxa"/>
              <w:bottom w:w="20.0" w:type="dxa"/>
              <w:right w:w="20.0" w:type="dxa"/>
            </w:tcMar>
            <w:vAlign w:val="bottom"/>
          </w:tcPr>
          <w:p w:rsidR="00000000" w:rsidDel="00000000" w:rsidP="00000000" w:rsidRDefault="00000000" w:rsidRPr="00000000" w14:paraId="00000016">
            <w:pPr>
              <w:spacing w:after="240" w:before="240" w:lineRule="auto"/>
              <w:rPr/>
            </w:pPr>
            <w:r w:rsidDel="00000000" w:rsidR="00000000" w:rsidRPr="00000000">
              <w:rPr>
                <w:rtl w:val="0"/>
              </w:rPr>
              <w:t xml:space="preserve">Purchase Order Accuracy</w:t>
            </w:r>
          </w:p>
        </w:tc>
        <w:tc>
          <w:tcPr>
            <w:tcBorders>
              <w:top w:color="d9d9e3" w:space="0" w:sz="8" w:val="single"/>
              <w:left w:color="d9d9e3" w:space="0" w:sz="8" w:val="single"/>
              <w:bottom w:color="d9d9e3" w:space="0" w:sz="8" w:val="single"/>
              <w:right w:color="d9d9e3" w:space="0" w:sz="8" w:val="single"/>
            </w:tcBorders>
            <w:tcMar>
              <w:top w:w="20.0" w:type="dxa"/>
              <w:left w:w="20.0" w:type="dxa"/>
              <w:bottom w:w="20.0" w:type="dxa"/>
              <w:right w:w="20.0" w:type="dxa"/>
            </w:tcMar>
            <w:vAlign w:val="bottom"/>
          </w:tcPr>
          <w:p w:rsidR="00000000" w:rsidDel="00000000" w:rsidP="00000000" w:rsidRDefault="00000000" w:rsidRPr="00000000" w14:paraId="00000017">
            <w:pPr>
              <w:spacing w:after="240" w:before="240" w:lineRule="auto"/>
              <w:rPr/>
            </w:pPr>
            <w:r w:rsidDel="00000000" w:rsidR="00000000" w:rsidRPr="00000000">
              <w:rPr>
                <w:rtl w:val="0"/>
              </w:rPr>
              <w:t xml:space="preserve">This KPI measures the accuracy of purchase orders processed by the purchasing clerk.</w:t>
            </w:r>
          </w:p>
        </w:tc>
        <w:tc>
          <w:tcPr>
            <w:tcBorders>
              <w:top w:color="d9d9e3" w:space="0" w:sz="8" w:val="single"/>
              <w:left w:color="d9d9e3" w:space="0" w:sz="8" w:val="single"/>
              <w:bottom w:color="d9d9e3" w:space="0" w:sz="8" w:val="single"/>
              <w:right w:color="d9d9e3" w:space="0" w:sz="8" w:val="single"/>
            </w:tcBorders>
            <w:tcMar>
              <w:top w:w="20.0" w:type="dxa"/>
              <w:left w:w="20.0" w:type="dxa"/>
              <w:bottom w:w="20.0" w:type="dxa"/>
              <w:right w:w="20.0" w:type="dxa"/>
            </w:tcMar>
            <w:vAlign w:val="bottom"/>
          </w:tcPr>
          <w:p w:rsidR="00000000" w:rsidDel="00000000" w:rsidP="00000000" w:rsidRDefault="00000000" w:rsidRPr="00000000" w14:paraId="00000018">
            <w:pPr>
              <w:spacing w:after="240" w:before="240" w:lineRule="auto"/>
              <w:rPr/>
            </w:pPr>
            <w:r w:rsidDel="00000000" w:rsidR="00000000" w:rsidRPr="00000000">
              <w:rPr>
                <w:rtl w:val="0"/>
              </w:rPr>
              <w:t xml:space="preserve">(Number of accurate purchase orders / Total number of purchase orders) x 100</w:t>
            </w:r>
          </w:p>
        </w:tc>
      </w:tr>
      <w:tr>
        <w:trPr>
          <w:cantSplit w:val="0"/>
          <w:trHeight w:val="825" w:hRule="atLeast"/>
          <w:tblHeader w:val="0"/>
        </w:trPr>
        <w:tc>
          <w:tcPr>
            <w:tcBorders>
              <w:top w:color="d9d9e3" w:space="0" w:sz="8" w:val="single"/>
              <w:left w:color="d9d9e3" w:space="0" w:sz="8" w:val="single"/>
              <w:bottom w:color="d9d9e3" w:space="0" w:sz="8" w:val="single"/>
              <w:right w:color="d9d9e3" w:space="0" w:sz="8" w:val="single"/>
            </w:tcBorders>
            <w:tcMar>
              <w:top w:w="20.0" w:type="dxa"/>
              <w:left w:w="20.0" w:type="dxa"/>
              <w:bottom w:w="20.0" w:type="dxa"/>
              <w:right w:w="20.0" w:type="dxa"/>
            </w:tcMar>
            <w:vAlign w:val="bottom"/>
          </w:tcPr>
          <w:p w:rsidR="00000000" w:rsidDel="00000000" w:rsidP="00000000" w:rsidRDefault="00000000" w:rsidRPr="00000000" w14:paraId="00000019">
            <w:pPr>
              <w:spacing w:after="240" w:before="240" w:lineRule="auto"/>
              <w:rPr/>
            </w:pPr>
            <w:r w:rsidDel="00000000" w:rsidR="00000000" w:rsidRPr="00000000">
              <w:rPr>
                <w:rtl w:val="0"/>
              </w:rPr>
              <w:t xml:space="preserve">Vendor Delivery Timeliness</w:t>
            </w:r>
          </w:p>
        </w:tc>
        <w:tc>
          <w:tcPr>
            <w:tcBorders>
              <w:top w:color="d9d9e3" w:space="0" w:sz="8" w:val="single"/>
              <w:left w:color="d9d9e3" w:space="0" w:sz="8" w:val="single"/>
              <w:bottom w:color="d9d9e3" w:space="0" w:sz="8" w:val="single"/>
              <w:right w:color="d9d9e3" w:space="0" w:sz="8" w:val="single"/>
            </w:tcBorders>
            <w:tcMar>
              <w:top w:w="20.0" w:type="dxa"/>
              <w:left w:w="20.0" w:type="dxa"/>
              <w:bottom w:w="20.0" w:type="dxa"/>
              <w:right w:w="20.0" w:type="dxa"/>
            </w:tcMar>
            <w:vAlign w:val="bottom"/>
          </w:tcPr>
          <w:p w:rsidR="00000000" w:rsidDel="00000000" w:rsidP="00000000" w:rsidRDefault="00000000" w:rsidRPr="00000000" w14:paraId="0000001A">
            <w:pPr>
              <w:spacing w:after="240" w:before="240" w:lineRule="auto"/>
              <w:rPr/>
            </w:pPr>
            <w:r w:rsidDel="00000000" w:rsidR="00000000" w:rsidRPr="00000000">
              <w:rPr>
                <w:rtl w:val="0"/>
              </w:rPr>
              <w:t xml:space="preserve">This KPI assesses the timeliness of vendor deliveries in accordance with agreed-upon schedules.</w:t>
            </w:r>
          </w:p>
        </w:tc>
        <w:tc>
          <w:tcPr>
            <w:tcBorders>
              <w:top w:color="d9d9e3" w:space="0" w:sz="8" w:val="single"/>
              <w:left w:color="d9d9e3" w:space="0" w:sz="8" w:val="single"/>
              <w:bottom w:color="d9d9e3" w:space="0" w:sz="8" w:val="single"/>
              <w:right w:color="d9d9e3" w:space="0" w:sz="8" w:val="single"/>
            </w:tcBorders>
            <w:tcMar>
              <w:top w:w="20.0" w:type="dxa"/>
              <w:left w:w="20.0" w:type="dxa"/>
              <w:bottom w:w="20.0" w:type="dxa"/>
              <w:right w:w="20.0" w:type="dxa"/>
            </w:tcMar>
            <w:vAlign w:val="bottom"/>
          </w:tcPr>
          <w:p w:rsidR="00000000" w:rsidDel="00000000" w:rsidP="00000000" w:rsidRDefault="00000000" w:rsidRPr="00000000" w14:paraId="0000001B">
            <w:pPr>
              <w:spacing w:after="240" w:before="240" w:lineRule="auto"/>
              <w:rPr/>
            </w:pPr>
            <w:r w:rsidDel="00000000" w:rsidR="00000000" w:rsidRPr="00000000">
              <w:rPr>
                <w:rtl w:val="0"/>
              </w:rPr>
              <w:t xml:space="preserve">(Number of on-time deliveries / Total number of deliveries) x 100</w:t>
            </w:r>
          </w:p>
        </w:tc>
      </w:tr>
      <w:tr>
        <w:trPr>
          <w:cantSplit w:val="0"/>
          <w:trHeight w:val="825" w:hRule="atLeast"/>
          <w:tblHeader w:val="0"/>
        </w:trPr>
        <w:tc>
          <w:tcPr>
            <w:tcBorders>
              <w:top w:color="d9d9e3" w:space="0" w:sz="8" w:val="single"/>
              <w:left w:color="d9d9e3" w:space="0" w:sz="8" w:val="single"/>
              <w:bottom w:color="d9d9e3" w:space="0" w:sz="8" w:val="single"/>
              <w:right w:color="d9d9e3" w:space="0" w:sz="8" w:val="single"/>
            </w:tcBorders>
            <w:tcMar>
              <w:top w:w="20.0" w:type="dxa"/>
              <w:left w:w="20.0" w:type="dxa"/>
              <w:bottom w:w="20.0" w:type="dxa"/>
              <w:right w:w="20.0" w:type="dxa"/>
            </w:tcMar>
            <w:vAlign w:val="bottom"/>
          </w:tcPr>
          <w:p w:rsidR="00000000" w:rsidDel="00000000" w:rsidP="00000000" w:rsidRDefault="00000000" w:rsidRPr="00000000" w14:paraId="0000001C">
            <w:pPr>
              <w:spacing w:after="240" w:before="240" w:lineRule="auto"/>
              <w:rPr/>
            </w:pPr>
            <w:r w:rsidDel="00000000" w:rsidR="00000000" w:rsidRPr="00000000">
              <w:rPr>
                <w:rtl w:val="0"/>
              </w:rPr>
              <w:t xml:space="preserve">Purchase Order Processing Time</w:t>
            </w:r>
          </w:p>
        </w:tc>
        <w:tc>
          <w:tcPr>
            <w:tcBorders>
              <w:top w:color="d9d9e3" w:space="0" w:sz="8" w:val="single"/>
              <w:left w:color="d9d9e3" w:space="0" w:sz="8" w:val="single"/>
              <w:bottom w:color="d9d9e3" w:space="0" w:sz="8" w:val="single"/>
              <w:right w:color="d9d9e3" w:space="0" w:sz="8" w:val="single"/>
            </w:tcBorders>
            <w:tcMar>
              <w:top w:w="20.0" w:type="dxa"/>
              <w:left w:w="20.0" w:type="dxa"/>
              <w:bottom w:w="20.0" w:type="dxa"/>
              <w:right w:w="20.0" w:type="dxa"/>
            </w:tcMar>
            <w:vAlign w:val="bottom"/>
          </w:tcPr>
          <w:p w:rsidR="00000000" w:rsidDel="00000000" w:rsidP="00000000" w:rsidRDefault="00000000" w:rsidRPr="00000000" w14:paraId="0000001D">
            <w:pPr>
              <w:spacing w:after="240" w:before="240" w:lineRule="auto"/>
              <w:rPr/>
            </w:pPr>
            <w:r w:rsidDel="00000000" w:rsidR="00000000" w:rsidRPr="00000000">
              <w:rPr>
                <w:rtl w:val="0"/>
              </w:rPr>
              <w:t xml:space="preserve">This KPI measures the efficiency of the purchasing clerk in processing purchase orders.</w:t>
            </w:r>
          </w:p>
        </w:tc>
        <w:tc>
          <w:tcPr>
            <w:tcBorders>
              <w:top w:color="d9d9e3" w:space="0" w:sz="8" w:val="single"/>
              <w:left w:color="d9d9e3" w:space="0" w:sz="8" w:val="single"/>
              <w:bottom w:color="d9d9e3" w:space="0" w:sz="8" w:val="single"/>
              <w:right w:color="d9d9e3" w:space="0" w:sz="8" w:val="single"/>
            </w:tcBorders>
            <w:tcMar>
              <w:top w:w="20.0" w:type="dxa"/>
              <w:left w:w="20.0" w:type="dxa"/>
              <w:bottom w:w="20.0" w:type="dxa"/>
              <w:right w:w="20.0" w:type="dxa"/>
            </w:tcMar>
            <w:vAlign w:val="bottom"/>
          </w:tcPr>
          <w:p w:rsidR="00000000" w:rsidDel="00000000" w:rsidP="00000000" w:rsidRDefault="00000000" w:rsidRPr="00000000" w14:paraId="0000001E">
            <w:pPr>
              <w:spacing w:after="240" w:before="240" w:lineRule="auto"/>
              <w:rPr/>
            </w:pPr>
            <w:r w:rsidDel="00000000" w:rsidR="00000000" w:rsidRPr="00000000">
              <w:rPr>
                <w:rtl w:val="0"/>
              </w:rPr>
              <w:t xml:space="preserve">Average time taken to process a purchase order</w:t>
            </w:r>
          </w:p>
        </w:tc>
      </w:tr>
      <w:tr>
        <w:trPr>
          <w:cantSplit w:val="0"/>
          <w:trHeight w:val="825" w:hRule="atLeast"/>
          <w:tblHeader w:val="0"/>
        </w:trPr>
        <w:tc>
          <w:tcPr>
            <w:tcBorders>
              <w:top w:color="d9d9e3" w:space="0" w:sz="8" w:val="single"/>
              <w:left w:color="d9d9e3" w:space="0" w:sz="8" w:val="single"/>
              <w:bottom w:color="d9d9e3" w:space="0" w:sz="8" w:val="single"/>
              <w:right w:color="d9d9e3" w:space="0" w:sz="8" w:val="single"/>
            </w:tcBorders>
            <w:tcMar>
              <w:top w:w="20.0" w:type="dxa"/>
              <w:left w:w="20.0" w:type="dxa"/>
              <w:bottom w:w="20.0" w:type="dxa"/>
              <w:right w:w="20.0" w:type="dxa"/>
            </w:tcMar>
            <w:vAlign w:val="bottom"/>
          </w:tcPr>
          <w:p w:rsidR="00000000" w:rsidDel="00000000" w:rsidP="00000000" w:rsidRDefault="00000000" w:rsidRPr="00000000" w14:paraId="0000001F">
            <w:pPr>
              <w:spacing w:after="240" w:before="240" w:lineRule="auto"/>
              <w:rPr/>
            </w:pPr>
            <w:r w:rsidDel="00000000" w:rsidR="00000000" w:rsidRPr="00000000">
              <w:rPr>
                <w:rtl w:val="0"/>
              </w:rPr>
              <w:t xml:space="preserve">Purchase Order Completeness</w:t>
            </w:r>
          </w:p>
        </w:tc>
        <w:tc>
          <w:tcPr>
            <w:tcBorders>
              <w:top w:color="d9d9e3" w:space="0" w:sz="8" w:val="single"/>
              <w:left w:color="d9d9e3" w:space="0" w:sz="8" w:val="single"/>
              <w:bottom w:color="d9d9e3" w:space="0" w:sz="8" w:val="single"/>
              <w:right w:color="d9d9e3" w:space="0" w:sz="8" w:val="single"/>
            </w:tcBorders>
            <w:tcMar>
              <w:top w:w="20.0" w:type="dxa"/>
              <w:left w:w="20.0" w:type="dxa"/>
              <w:bottom w:w="20.0" w:type="dxa"/>
              <w:right w:w="20.0" w:type="dxa"/>
            </w:tcMar>
            <w:vAlign w:val="bottom"/>
          </w:tcPr>
          <w:p w:rsidR="00000000" w:rsidDel="00000000" w:rsidP="00000000" w:rsidRDefault="00000000" w:rsidRPr="00000000" w14:paraId="00000020">
            <w:pPr>
              <w:spacing w:after="240" w:before="240" w:lineRule="auto"/>
              <w:rPr/>
            </w:pPr>
            <w:r w:rsidDel="00000000" w:rsidR="00000000" w:rsidRPr="00000000">
              <w:rPr>
                <w:rtl w:val="0"/>
              </w:rPr>
              <w:t xml:space="preserve">This KPI assesses the completeness of information included in purchase orders.</w:t>
            </w:r>
          </w:p>
        </w:tc>
        <w:tc>
          <w:tcPr>
            <w:tcBorders>
              <w:top w:color="d9d9e3" w:space="0" w:sz="8" w:val="single"/>
              <w:left w:color="d9d9e3" w:space="0" w:sz="8" w:val="single"/>
              <w:bottom w:color="d9d9e3" w:space="0" w:sz="8" w:val="single"/>
              <w:right w:color="d9d9e3" w:space="0" w:sz="8" w:val="single"/>
            </w:tcBorders>
            <w:tcMar>
              <w:top w:w="20.0" w:type="dxa"/>
              <w:left w:w="20.0" w:type="dxa"/>
              <w:bottom w:w="20.0" w:type="dxa"/>
              <w:right w:w="20.0" w:type="dxa"/>
            </w:tcMar>
            <w:vAlign w:val="bottom"/>
          </w:tcPr>
          <w:p w:rsidR="00000000" w:rsidDel="00000000" w:rsidP="00000000" w:rsidRDefault="00000000" w:rsidRPr="00000000" w14:paraId="00000021">
            <w:pPr>
              <w:spacing w:after="240" w:before="240" w:lineRule="auto"/>
              <w:rPr/>
            </w:pPr>
            <w:r w:rsidDel="00000000" w:rsidR="00000000" w:rsidRPr="00000000">
              <w:rPr>
                <w:rtl w:val="0"/>
              </w:rPr>
              <w:t xml:space="preserve">(Number of complete purchase orders / Total number of purchase orders) x 100</w:t>
            </w:r>
          </w:p>
        </w:tc>
      </w:tr>
      <w:tr>
        <w:trPr>
          <w:cantSplit w:val="0"/>
          <w:trHeight w:val="825" w:hRule="atLeast"/>
          <w:tblHeader w:val="0"/>
        </w:trPr>
        <w:tc>
          <w:tcPr>
            <w:tcBorders>
              <w:top w:color="d9d9e3" w:space="0" w:sz="8" w:val="single"/>
              <w:left w:color="d9d9e3" w:space="0" w:sz="8" w:val="single"/>
              <w:bottom w:color="d9d9e3" w:space="0" w:sz="8" w:val="single"/>
              <w:right w:color="d9d9e3" w:space="0" w:sz="8" w:val="single"/>
            </w:tcBorders>
            <w:tcMar>
              <w:top w:w="20.0" w:type="dxa"/>
              <w:left w:w="20.0" w:type="dxa"/>
              <w:bottom w:w="20.0" w:type="dxa"/>
              <w:right w:w="20.0" w:type="dxa"/>
            </w:tcMar>
            <w:vAlign w:val="bottom"/>
          </w:tcPr>
          <w:p w:rsidR="00000000" w:rsidDel="00000000" w:rsidP="00000000" w:rsidRDefault="00000000" w:rsidRPr="00000000" w14:paraId="00000022">
            <w:pPr>
              <w:spacing w:after="240" w:before="240" w:lineRule="auto"/>
              <w:rPr/>
            </w:pPr>
            <w:r w:rsidDel="00000000" w:rsidR="00000000" w:rsidRPr="00000000">
              <w:rPr>
                <w:rtl w:val="0"/>
              </w:rPr>
              <w:t xml:space="preserve">Purchase Issue Resolution Time</w:t>
            </w:r>
          </w:p>
        </w:tc>
        <w:tc>
          <w:tcPr>
            <w:tcBorders>
              <w:top w:color="d9d9e3" w:space="0" w:sz="8" w:val="single"/>
              <w:left w:color="d9d9e3" w:space="0" w:sz="8" w:val="single"/>
              <w:bottom w:color="d9d9e3" w:space="0" w:sz="8" w:val="single"/>
              <w:right w:color="d9d9e3" w:space="0" w:sz="8" w:val="single"/>
            </w:tcBorders>
            <w:tcMar>
              <w:top w:w="20.0" w:type="dxa"/>
              <w:left w:w="20.0" w:type="dxa"/>
              <w:bottom w:w="20.0" w:type="dxa"/>
              <w:right w:w="20.0" w:type="dxa"/>
            </w:tcMar>
            <w:vAlign w:val="bottom"/>
          </w:tcPr>
          <w:p w:rsidR="00000000" w:rsidDel="00000000" w:rsidP="00000000" w:rsidRDefault="00000000" w:rsidRPr="00000000" w14:paraId="00000023">
            <w:pPr>
              <w:spacing w:after="240" w:before="240" w:lineRule="auto"/>
              <w:rPr/>
            </w:pPr>
            <w:r w:rsidDel="00000000" w:rsidR="00000000" w:rsidRPr="00000000">
              <w:rPr>
                <w:rtl w:val="0"/>
              </w:rPr>
              <w:t xml:space="preserve">This KPI measures the average time taken to resolve purchasing-related issues.</w:t>
            </w:r>
          </w:p>
        </w:tc>
        <w:tc>
          <w:tcPr>
            <w:tcBorders>
              <w:top w:color="d9d9e3" w:space="0" w:sz="8" w:val="single"/>
              <w:left w:color="d9d9e3" w:space="0" w:sz="8" w:val="single"/>
              <w:bottom w:color="d9d9e3" w:space="0" w:sz="8" w:val="single"/>
              <w:right w:color="d9d9e3" w:space="0" w:sz="8" w:val="single"/>
            </w:tcBorders>
            <w:tcMar>
              <w:top w:w="20.0" w:type="dxa"/>
              <w:left w:w="20.0" w:type="dxa"/>
              <w:bottom w:w="20.0" w:type="dxa"/>
              <w:right w:w="20.0" w:type="dxa"/>
            </w:tcMar>
            <w:vAlign w:val="bottom"/>
          </w:tcPr>
          <w:p w:rsidR="00000000" w:rsidDel="00000000" w:rsidP="00000000" w:rsidRDefault="00000000" w:rsidRPr="00000000" w14:paraId="00000024">
            <w:pPr>
              <w:spacing w:after="240" w:before="240" w:lineRule="auto"/>
              <w:rPr/>
            </w:pPr>
            <w:r w:rsidDel="00000000" w:rsidR="00000000" w:rsidRPr="00000000">
              <w:rPr>
                <w:rtl w:val="0"/>
              </w:rPr>
              <w:t xml:space="preserve">Total time taken to resolve purchase issues / Number of resolved issues</w:t>
            </w:r>
          </w:p>
        </w:tc>
      </w:tr>
      <w:tr>
        <w:trPr>
          <w:cantSplit w:val="0"/>
          <w:trHeight w:val="1095" w:hRule="atLeast"/>
          <w:tblHeader w:val="0"/>
        </w:trPr>
        <w:tc>
          <w:tcPr>
            <w:tcBorders>
              <w:top w:color="d9d9e3" w:space="0" w:sz="8" w:val="single"/>
              <w:left w:color="d9d9e3" w:space="0" w:sz="8" w:val="single"/>
              <w:bottom w:color="d9d9e3" w:space="0" w:sz="8" w:val="single"/>
              <w:right w:color="d9d9e3" w:space="0" w:sz="8" w:val="single"/>
            </w:tcBorders>
            <w:tcMar>
              <w:top w:w="20.0" w:type="dxa"/>
              <w:left w:w="20.0" w:type="dxa"/>
              <w:bottom w:w="20.0" w:type="dxa"/>
              <w:right w:w="20.0" w:type="dxa"/>
            </w:tcMar>
            <w:vAlign w:val="bottom"/>
          </w:tcPr>
          <w:p w:rsidR="00000000" w:rsidDel="00000000" w:rsidP="00000000" w:rsidRDefault="00000000" w:rsidRPr="00000000" w14:paraId="00000025">
            <w:pPr>
              <w:spacing w:after="240" w:before="240" w:lineRule="auto"/>
              <w:rPr/>
            </w:pPr>
            <w:r w:rsidDel="00000000" w:rsidR="00000000" w:rsidRPr="00000000">
              <w:rPr>
                <w:rtl w:val="0"/>
              </w:rPr>
              <w:t xml:space="preserve">Internal Stakeholder Satisfaction</w:t>
            </w:r>
          </w:p>
        </w:tc>
        <w:tc>
          <w:tcPr>
            <w:tcBorders>
              <w:top w:color="d9d9e3" w:space="0" w:sz="8" w:val="single"/>
              <w:left w:color="d9d9e3" w:space="0" w:sz="8" w:val="single"/>
              <w:bottom w:color="d9d9e3" w:space="0" w:sz="8" w:val="single"/>
              <w:right w:color="d9d9e3" w:space="0" w:sz="8" w:val="single"/>
            </w:tcBorders>
            <w:tcMar>
              <w:top w:w="20.0" w:type="dxa"/>
              <w:left w:w="20.0" w:type="dxa"/>
              <w:bottom w:w="20.0" w:type="dxa"/>
              <w:right w:w="20.0" w:type="dxa"/>
            </w:tcMar>
            <w:vAlign w:val="bottom"/>
          </w:tcPr>
          <w:p w:rsidR="00000000" w:rsidDel="00000000" w:rsidP="00000000" w:rsidRDefault="00000000" w:rsidRPr="00000000" w14:paraId="00000026">
            <w:pPr>
              <w:spacing w:after="240" w:before="240" w:lineRule="auto"/>
              <w:rPr/>
            </w:pPr>
            <w:r w:rsidDel="00000000" w:rsidR="00000000" w:rsidRPr="00000000">
              <w:rPr>
                <w:rtl w:val="0"/>
              </w:rPr>
              <w:t xml:space="preserve">This KPI assesses the satisfaction level of internal stakeholders (e.g., departments) with purchasing activities.</w:t>
            </w:r>
          </w:p>
        </w:tc>
        <w:tc>
          <w:tcPr>
            <w:tcBorders>
              <w:top w:color="d9d9e3" w:space="0" w:sz="8" w:val="single"/>
              <w:left w:color="d9d9e3" w:space="0" w:sz="8" w:val="single"/>
              <w:bottom w:color="d9d9e3" w:space="0" w:sz="8" w:val="single"/>
              <w:right w:color="d9d9e3" w:space="0" w:sz="8" w:val="single"/>
            </w:tcBorders>
            <w:tcMar>
              <w:top w:w="20.0" w:type="dxa"/>
              <w:left w:w="20.0" w:type="dxa"/>
              <w:bottom w:w="20.0" w:type="dxa"/>
              <w:right w:w="20.0" w:type="dxa"/>
            </w:tcMar>
            <w:vAlign w:val="bottom"/>
          </w:tcPr>
          <w:p w:rsidR="00000000" w:rsidDel="00000000" w:rsidP="00000000" w:rsidRDefault="00000000" w:rsidRPr="00000000" w14:paraId="00000027">
            <w:pPr>
              <w:spacing w:after="240" w:before="240" w:lineRule="auto"/>
              <w:rPr/>
            </w:pPr>
            <w:r w:rsidDel="00000000" w:rsidR="00000000" w:rsidRPr="00000000">
              <w:rPr>
                <w:rtl w:val="0"/>
              </w:rPr>
              <w:t xml:space="preserve">(Sum of stakeholder satisfaction ratings / Number of stakeholders)</w:t>
            </w:r>
          </w:p>
        </w:tc>
      </w:tr>
      <w:tr>
        <w:trPr>
          <w:cantSplit w:val="0"/>
          <w:trHeight w:val="1095" w:hRule="atLeast"/>
          <w:tblHeader w:val="0"/>
        </w:trPr>
        <w:tc>
          <w:tcPr>
            <w:tcBorders>
              <w:top w:color="d9d9e3" w:space="0" w:sz="8" w:val="single"/>
              <w:left w:color="d9d9e3" w:space="0" w:sz="8" w:val="single"/>
              <w:bottom w:color="d9d9e3" w:space="0" w:sz="8" w:val="single"/>
              <w:right w:color="d9d9e3" w:space="0" w:sz="8" w:val="single"/>
            </w:tcBorders>
            <w:tcMar>
              <w:top w:w="20.0" w:type="dxa"/>
              <w:left w:w="20.0" w:type="dxa"/>
              <w:bottom w:w="20.0" w:type="dxa"/>
              <w:right w:w="20.0" w:type="dxa"/>
            </w:tcMar>
            <w:vAlign w:val="bottom"/>
          </w:tcPr>
          <w:p w:rsidR="00000000" w:rsidDel="00000000" w:rsidP="00000000" w:rsidRDefault="00000000" w:rsidRPr="00000000" w14:paraId="00000028">
            <w:pPr>
              <w:spacing w:after="240" w:before="240" w:lineRule="auto"/>
              <w:rPr/>
            </w:pPr>
            <w:r w:rsidDel="00000000" w:rsidR="00000000" w:rsidRPr="00000000">
              <w:rPr>
                <w:rtl w:val="0"/>
              </w:rPr>
              <w:t xml:space="preserve">Compliance with Purchasing Policies</w:t>
            </w:r>
          </w:p>
        </w:tc>
        <w:tc>
          <w:tcPr>
            <w:tcBorders>
              <w:top w:color="d9d9e3" w:space="0" w:sz="8" w:val="single"/>
              <w:left w:color="d9d9e3" w:space="0" w:sz="8" w:val="single"/>
              <w:bottom w:color="d9d9e3" w:space="0" w:sz="8" w:val="single"/>
              <w:right w:color="d9d9e3" w:space="0" w:sz="8" w:val="single"/>
            </w:tcBorders>
            <w:tcMar>
              <w:top w:w="20.0" w:type="dxa"/>
              <w:left w:w="20.0" w:type="dxa"/>
              <w:bottom w:w="20.0" w:type="dxa"/>
              <w:right w:w="20.0" w:type="dxa"/>
            </w:tcMar>
            <w:vAlign w:val="bottom"/>
          </w:tcPr>
          <w:p w:rsidR="00000000" w:rsidDel="00000000" w:rsidP="00000000" w:rsidRDefault="00000000" w:rsidRPr="00000000" w14:paraId="00000029">
            <w:pPr>
              <w:spacing w:after="240" w:before="240" w:lineRule="auto"/>
              <w:rPr/>
            </w:pPr>
            <w:r w:rsidDel="00000000" w:rsidR="00000000" w:rsidRPr="00000000">
              <w:rPr>
                <w:rtl w:val="0"/>
              </w:rPr>
              <w:t xml:space="preserve">This KPI measures the extent to which the purchasing clerk adheres to purchasing policies and procedures.</w:t>
            </w:r>
          </w:p>
        </w:tc>
        <w:tc>
          <w:tcPr>
            <w:tcBorders>
              <w:top w:color="d9d9e3" w:space="0" w:sz="8" w:val="single"/>
              <w:left w:color="d9d9e3" w:space="0" w:sz="8" w:val="single"/>
              <w:bottom w:color="d9d9e3" w:space="0" w:sz="8" w:val="single"/>
              <w:right w:color="d9d9e3" w:space="0" w:sz="8" w:val="single"/>
            </w:tcBorders>
            <w:tcMar>
              <w:top w:w="20.0" w:type="dxa"/>
              <w:left w:w="20.0" w:type="dxa"/>
              <w:bottom w:w="20.0" w:type="dxa"/>
              <w:right w:w="20.0" w:type="dxa"/>
            </w:tcMar>
            <w:vAlign w:val="bottom"/>
          </w:tcPr>
          <w:p w:rsidR="00000000" w:rsidDel="00000000" w:rsidP="00000000" w:rsidRDefault="00000000" w:rsidRPr="00000000" w14:paraId="0000002A">
            <w:pPr>
              <w:spacing w:after="240" w:before="240" w:lineRule="auto"/>
              <w:rPr/>
            </w:pPr>
            <w:r w:rsidDel="00000000" w:rsidR="00000000" w:rsidRPr="00000000">
              <w:rPr>
                <w:rtl w:val="0"/>
              </w:rPr>
              <w:t xml:space="preserve">(Number of compliant purchasing practices / Total number of purchasing practices) x 100</w:t>
            </w:r>
          </w:p>
        </w:tc>
      </w:tr>
      <w:tr>
        <w:trPr>
          <w:cantSplit w:val="0"/>
          <w:trHeight w:val="825" w:hRule="atLeast"/>
          <w:tblHeader w:val="0"/>
        </w:trPr>
        <w:tc>
          <w:tcPr>
            <w:tcBorders>
              <w:top w:color="d9d9e3" w:space="0" w:sz="8" w:val="single"/>
              <w:left w:color="d9d9e3" w:space="0" w:sz="8" w:val="single"/>
              <w:bottom w:color="d9d9e3" w:space="0" w:sz="8" w:val="single"/>
              <w:right w:color="d9d9e3" w:space="0" w:sz="8" w:val="single"/>
            </w:tcBorders>
            <w:tcMar>
              <w:top w:w="20.0" w:type="dxa"/>
              <w:left w:w="20.0" w:type="dxa"/>
              <w:bottom w:w="20.0" w:type="dxa"/>
              <w:right w:w="20.0" w:type="dxa"/>
            </w:tcMar>
            <w:vAlign w:val="bottom"/>
          </w:tcPr>
          <w:p w:rsidR="00000000" w:rsidDel="00000000" w:rsidP="00000000" w:rsidRDefault="00000000" w:rsidRPr="00000000" w14:paraId="0000002B">
            <w:pPr>
              <w:spacing w:after="240" w:before="240" w:lineRule="auto"/>
              <w:rPr/>
            </w:pPr>
            <w:r w:rsidDel="00000000" w:rsidR="00000000" w:rsidRPr="00000000">
              <w:rPr>
                <w:rtl w:val="0"/>
              </w:rPr>
              <w:t xml:space="preserve">Cost Savings Identification</w:t>
            </w:r>
          </w:p>
        </w:tc>
        <w:tc>
          <w:tcPr>
            <w:tcBorders>
              <w:top w:color="d9d9e3" w:space="0" w:sz="8" w:val="single"/>
              <w:left w:color="d9d9e3" w:space="0" w:sz="8" w:val="single"/>
              <w:bottom w:color="d9d9e3" w:space="0" w:sz="8" w:val="single"/>
              <w:right w:color="d9d9e3" w:space="0" w:sz="8" w:val="single"/>
            </w:tcBorders>
            <w:tcMar>
              <w:top w:w="20.0" w:type="dxa"/>
              <w:left w:w="20.0" w:type="dxa"/>
              <w:bottom w:w="20.0" w:type="dxa"/>
              <w:right w:w="20.0" w:type="dxa"/>
            </w:tcMar>
            <w:vAlign w:val="bottom"/>
          </w:tcPr>
          <w:p w:rsidR="00000000" w:rsidDel="00000000" w:rsidP="00000000" w:rsidRDefault="00000000" w:rsidRPr="00000000" w14:paraId="0000002C">
            <w:pPr>
              <w:spacing w:after="240" w:before="240" w:lineRule="auto"/>
              <w:rPr/>
            </w:pPr>
            <w:r w:rsidDel="00000000" w:rsidR="00000000" w:rsidRPr="00000000">
              <w:rPr>
                <w:rtl w:val="0"/>
              </w:rPr>
              <w:t xml:space="preserve">This KPI measures the purchasing clerk's ability to identify opportunities for cost savings.</w:t>
            </w:r>
          </w:p>
        </w:tc>
        <w:tc>
          <w:tcPr>
            <w:tcBorders>
              <w:top w:color="d9d9e3" w:space="0" w:sz="8" w:val="single"/>
              <w:left w:color="d9d9e3" w:space="0" w:sz="8" w:val="single"/>
              <w:bottom w:color="d9d9e3" w:space="0" w:sz="8" w:val="single"/>
              <w:right w:color="d9d9e3" w:space="0" w:sz="8" w:val="single"/>
            </w:tcBorders>
            <w:tcMar>
              <w:top w:w="20.0" w:type="dxa"/>
              <w:left w:w="20.0" w:type="dxa"/>
              <w:bottom w:w="20.0" w:type="dxa"/>
              <w:right w:w="20.0" w:type="dxa"/>
            </w:tcMar>
            <w:vAlign w:val="bottom"/>
          </w:tcPr>
          <w:p w:rsidR="00000000" w:rsidDel="00000000" w:rsidP="00000000" w:rsidRDefault="00000000" w:rsidRPr="00000000" w14:paraId="0000002D">
            <w:pPr>
              <w:spacing w:after="240" w:before="240" w:lineRule="auto"/>
              <w:rPr/>
            </w:pPr>
            <w:r w:rsidDel="00000000" w:rsidR="00000000" w:rsidRPr="00000000">
              <w:rPr>
                <w:rtl w:val="0"/>
              </w:rPr>
              <w:t xml:space="preserve">Number of cost-saving opportunities identified</w:t>
            </w:r>
          </w:p>
        </w:tc>
      </w:tr>
      <w:tr>
        <w:trPr>
          <w:cantSplit w:val="0"/>
          <w:trHeight w:val="1095" w:hRule="atLeast"/>
          <w:tblHeader w:val="0"/>
        </w:trPr>
        <w:tc>
          <w:tcPr>
            <w:tcBorders>
              <w:top w:color="d9d9e3" w:space="0" w:sz="8" w:val="single"/>
              <w:left w:color="d9d9e3" w:space="0" w:sz="8" w:val="single"/>
              <w:bottom w:color="d9d9e3" w:space="0" w:sz="8" w:val="single"/>
              <w:right w:color="d9d9e3" w:space="0" w:sz="8" w:val="single"/>
            </w:tcBorders>
            <w:tcMar>
              <w:top w:w="20.0" w:type="dxa"/>
              <w:left w:w="20.0" w:type="dxa"/>
              <w:bottom w:w="20.0" w:type="dxa"/>
              <w:right w:w="20.0" w:type="dxa"/>
            </w:tcMar>
            <w:vAlign w:val="bottom"/>
          </w:tcPr>
          <w:p w:rsidR="00000000" w:rsidDel="00000000" w:rsidP="00000000" w:rsidRDefault="00000000" w:rsidRPr="00000000" w14:paraId="0000002E">
            <w:pPr>
              <w:spacing w:after="240" w:before="240" w:lineRule="auto"/>
              <w:rPr/>
            </w:pPr>
            <w:r w:rsidDel="00000000" w:rsidR="00000000" w:rsidRPr="00000000">
              <w:rPr>
                <w:rtl w:val="0"/>
              </w:rPr>
              <w:t xml:space="preserve">Documentation Accuracy</w:t>
            </w:r>
          </w:p>
        </w:tc>
        <w:tc>
          <w:tcPr>
            <w:tcBorders>
              <w:top w:color="d9d9e3" w:space="0" w:sz="8" w:val="single"/>
              <w:left w:color="d9d9e3" w:space="0" w:sz="8" w:val="single"/>
              <w:bottom w:color="d9d9e3" w:space="0" w:sz="8" w:val="single"/>
              <w:right w:color="d9d9e3" w:space="0" w:sz="8" w:val="single"/>
            </w:tcBorders>
            <w:tcMar>
              <w:top w:w="20.0" w:type="dxa"/>
              <w:left w:w="20.0" w:type="dxa"/>
              <w:bottom w:w="20.0" w:type="dxa"/>
              <w:right w:w="20.0" w:type="dxa"/>
            </w:tcMar>
            <w:vAlign w:val="bottom"/>
          </w:tcPr>
          <w:p w:rsidR="00000000" w:rsidDel="00000000" w:rsidP="00000000" w:rsidRDefault="00000000" w:rsidRPr="00000000" w14:paraId="0000002F">
            <w:pPr>
              <w:spacing w:after="240" w:before="240" w:lineRule="auto"/>
              <w:rPr/>
            </w:pPr>
            <w:r w:rsidDel="00000000" w:rsidR="00000000" w:rsidRPr="00000000">
              <w:rPr>
                <w:rtl w:val="0"/>
              </w:rPr>
              <w:t xml:space="preserve">This KPI assesses the accuracy of purchasing-related documentation maintained by the clerk.</w:t>
            </w:r>
          </w:p>
        </w:tc>
        <w:tc>
          <w:tcPr>
            <w:tcBorders>
              <w:top w:color="d9d9e3" w:space="0" w:sz="8" w:val="single"/>
              <w:left w:color="d9d9e3" w:space="0" w:sz="8" w:val="single"/>
              <w:bottom w:color="d9d9e3" w:space="0" w:sz="8" w:val="single"/>
              <w:right w:color="d9d9e3" w:space="0" w:sz="8" w:val="single"/>
            </w:tcBorders>
            <w:tcMar>
              <w:top w:w="20.0" w:type="dxa"/>
              <w:left w:w="20.0" w:type="dxa"/>
              <w:bottom w:w="20.0" w:type="dxa"/>
              <w:right w:w="20.0" w:type="dxa"/>
            </w:tcMar>
            <w:vAlign w:val="bottom"/>
          </w:tcPr>
          <w:p w:rsidR="00000000" w:rsidDel="00000000" w:rsidP="00000000" w:rsidRDefault="00000000" w:rsidRPr="00000000" w14:paraId="00000030">
            <w:pPr>
              <w:spacing w:after="240" w:before="240" w:lineRule="auto"/>
              <w:rPr/>
            </w:pPr>
            <w:r w:rsidDel="00000000" w:rsidR="00000000" w:rsidRPr="00000000">
              <w:rPr>
                <w:rtl w:val="0"/>
              </w:rPr>
              <w:t xml:space="preserve">(Number of accurate purchasing documents / Total number of purchasing documents) x 100</w:t>
            </w:r>
          </w:p>
        </w:tc>
      </w:tr>
      <w:tr>
        <w:trPr>
          <w:cantSplit w:val="0"/>
          <w:trHeight w:val="825" w:hRule="atLeast"/>
          <w:tblHeader w:val="0"/>
        </w:trPr>
        <w:tc>
          <w:tcPr>
            <w:tcBorders>
              <w:top w:color="d9d9e3" w:space="0" w:sz="8" w:val="single"/>
              <w:left w:color="d9d9e3" w:space="0" w:sz="8" w:val="single"/>
              <w:bottom w:color="d9d9e3" w:space="0" w:sz="8" w:val="single"/>
              <w:right w:color="d9d9e3" w:space="0" w:sz="8" w:val="single"/>
            </w:tcBorders>
            <w:tcMar>
              <w:top w:w="20.0" w:type="dxa"/>
              <w:left w:w="20.0" w:type="dxa"/>
              <w:bottom w:w="20.0" w:type="dxa"/>
              <w:right w:w="20.0" w:type="dxa"/>
            </w:tcMar>
            <w:vAlign w:val="bottom"/>
          </w:tcPr>
          <w:p w:rsidR="00000000" w:rsidDel="00000000" w:rsidP="00000000" w:rsidRDefault="00000000" w:rsidRPr="00000000" w14:paraId="00000031">
            <w:pPr>
              <w:spacing w:after="240" w:before="240" w:lineRule="auto"/>
              <w:rPr/>
            </w:pPr>
            <w:r w:rsidDel="00000000" w:rsidR="00000000" w:rsidRPr="00000000">
              <w:rPr>
                <w:rtl w:val="0"/>
              </w:rPr>
              <w:t xml:space="preserve">Administrative Efficiency</w:t>
            </w:r>
          </w:p>
        </w:tc>
        <w:tc>
          <w:tcPr>
            <w:tcBorders>
              <w:top w:color="d9d9e3" w:space="0" w:sz="8" w:val="single"/>
              <w:left w:color="d9d9e3" w:space="0" w:sz="8" w:val="single"/>
              <w:bottom w:color="d9d9e3" w:space="0" w:sz="8" w:val="single"/>
              <w:right w:color="d9d9e3" w:space="0" w:sz="8" w:val="single"/>
            </w:tcBorders>
            <w:tcMar>
              <w:top w:w="20.0" w:type="dxa"/>
              <w:left w:w="20.0" w:type="dxa"/>
              <w:bottom w:w="20.0" w:type="dxa"/>
              <w:right w:w="20.0" w:type="dxa"/>
            </w:tcMar>
            <w:vAlign w:val="bottom"/>
          </w:tcPr>
          <w:p w:rsidR="00000000" w:rsidDel="00000000" w:rsidP="00000000" w:rsidRDefault="00000000" w:rsidRPr="00000000" w14:paraId="00000032">
            <w:pPr>
              <w:spacing w:after="240" w:before="240" w:lineRule="auto"/>
              <w:rPr/>
            </w:pPr>
            <w:r w:rsidDel="00000000" w:rsidR="00000000" w:rsidRPr="00000000">
              <w:rPr>
                <w:rtl w:val="0"/>
              </w:rPr>
              <w:t xml:space="preserve">This KPI measures the efficiency of administrative and clerical duties performed by the purchasing clerk.</w:t>
            </w:r>
          </w:p>
        </w:tc>
        <w:tc>
          <w:tcPr>
            <w:tcBorders>
              <w:top w:color="d9d9e3" w:space="0" w:sz="8" w:val="single"/>
              <w:left w:color="d9d9e3" w:space="0" w:sz="8" w:val="single"/>
              <w:bottom w:color="d9d9e3" w:space="0" w:sz="8" w:val="single"/>
              <w:right w:color="d9d9e3" w:space="0" w:sz="8" w:val="single"/>
            </w:tcBorders>
            <w:tcMar>
              <w:top w:w="20.0" w:type="dxa"/>
              <w:left w:w="20.0" w:type="dxa"/>
              <w:bottom w:w="20.0" w:type="dxa"/>
              <w:right w:w="20.0" w:type="dxa"/>
            </w:tcMar>
            <w:vAlign w:val="bottom"/>
          </w:tcPr>
          <w:p w:rsidR="00000000" w:rsidDel="00000000" w:rsidP="00000000" w:rsidRDefault="00000000" w:rsidRPr="00000000" w14:paraId="00000033">
            <w:pPr>
              <w:spacing w:after="240" w:before="240" w:lineRule="auto"/>
              <w:rPr/>
            </w:pPr>
            <w:r w:rsidDel="00000000" w:rsidR="00000000" w:rsidRPr="00000000">
              <w:rPr>
                <w:rtl w:val="0"/>
              </w:rPr>
              <w:t xml:space="preserve">(Total time spent on administrative tasks / Total number of tasks)</w:t>
            </w:r>
          </w:p>
        </w:tc>
      </w:tr>
    </w:tbl>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pStyle w:val="Heading2"/>
        <w:rPr/>
      </w:pPr>
      <w:bookmarkStart w:colFirst="0" w:colLast="0" w:name="_jojizqi7k3lt" w:id="3"/>
      <w:bookmarkEnd w:id="3"/>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ind w:left="0" w:firstLine="0"/>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ind w:left="720" w:firstLine="0"/>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r>
    </w:p>
    <w:sectPr>
      <w:headerReference r:id="rId6" w:type="default"/>
      <w:footerReference r:id="rId7"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5">
    <w:pPr>
      <w:pageBreakBefore w:val="0"/>
      <w:jc w:val="right"/>
      <w:rPr/>
    </w:pPr>
    <w:r w:rsidDel="00000000" w:rsidR="00000000" w:rsidRPr="00000000">
      <w:rPr/>
      <w:drawing>
        <wp:inline distB="114300" distT="114300" distL="114300" distR="114300">
          <wp:extent cx="857250" cy="457200"/>
          <wp:effectExtent b="0" l="0" r="0" t="0"/>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857250" cy="457200"/>
                  </a:xfrm>
                  <a:prstGeom prst="rect"/>
                  <a:ln/>
                </pic:spPr>
              </pic:pic>
            </a:graphicData>
          </a:graphic>
        </wp:inline>
      </w:drawing>
    </w:r>
    <w:r w:rsidDel="00000000" w:rsidR="00000000" w:rsidRPr="00000000">
      <w:rPr>
        <w:rtl w:val="0"/>
      </w:rPr>
    </w:r>
  </w:p>
  <w:p w:rsidR="00000000" w:rsidDel="00000000" w:rsidP="00000000" w:rsidRDefault="00000000" w:rsidRPr="00000000" w14:paraId="00000046">
    <w:pPr>
      <w:pageBreakBefore w:val="0"/>
      <w:jc w:val="right"/>
      <w:rPr/>
    </w:pPr>
    <w:hyperlink r:id="rId2">
      <w:r w:rsidDel="00000000" w:rsidR="00000000" w:rsidRPr="00000000">
        <w:rPr>
          <w:b w:val="1"/>
          <w:bCs w:val="1"/>
          <w:color w:val="1155cc"/>
          <w:sz w:val="20"/>
          <w:szCs w:val="20"/>
          <w:u w:val="single"/>
          <w:rtl w:val="0"/>
        </w:rPr>
        <w:t xml:space="preserve">Click here to get the most up-to-date version of this SOP</w:t>
      </w:r>
    </w:hyperlink>
    <w:r w:rsidDel="00000000" w:rsidR="00000000" w:rsidRPr="00000000">
      <w:rPr>
        <w:rtl w:val="0"/>
      </w:rPr>
    </w:r>
  </w:p>
  <w:p w:rsidR="00000000" w:rsidDel="00000000" w:rsidP="00000000" w:rsidRDefault="00000000" w:rsidRPr="00000000" w14:paraId="00000047">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4">
    <w:pPr>
      <w:pageBreakBefore w:val="0"/>
      <w:jc w:val="left"/>
      <w:rPr/>
    </w:pPr>
    <w:r w:rsidDel="00000000" w:rsidR="00000000" w:rsidRPr="00000000">
      <w:rPr/>
      <w:drawing>
        <wp:anchor allowOverlap="1" behindDoc="0" distB="0" distT="0" distL="0" distR="0" hidden="0" layoutInCell="1" locked="0" relativeHeight="0" simplePos="0">
          <wp:simplePos x="0" y="0"/>
          <wp:positionH relativeFrom="page">
            <wp:posOffset>0</wp:posOffset>
          </wp:positionH>
          <wp:positionV relativeFrom="page">
            <wp:posOffset>0</wp:posOffset>
          </wp:positionV>
          <wp:extent cx="7862726" cy="889161"/>
          <wp:effectExtent b="0" l="0" r="0" t="0"/>
          <wp:wrapTopAndBottom distB="0" dist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862726" cy="889161"/>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pPr>
    <w:rPr>
      <w:b w:val="1"/>
      <w:bCs w:val="1"/>
      <w:i w:val="1"/>
      <w:iCs w:val="1"/>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bCs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jc w:val="center"/>
    </w:pPr>
    <w:rPr>
      <w:rFonts w:ascii="Poppins" w:cs="Poppins" w:eastAsia="Poppins" w:hAnsi="Poppins"/>
      <w:b w:val="1"/>
      <w:bCs w:val="1"/>
      <w:sz w:val="48"/>
      <w:szCs w:val="48"/>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 w:type="table" w:styleId="Table1">
    <w:basedOn w:val="TableNormal"/>
    <w:tblPr>
      <w:tblStyleRowBandSize w:val="1"/>
      <w:tblStyleColBandSize w:val="1"/>
      <w:tblCellMar/>
    </w:tblPr>
    <w:tcPr>
      <w:shd w:fill="f7f7f8"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hyperlink" Target="https://membership.chrm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