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60" w:lineRule="auto"/>
        <w:jc w:val="center"/>
        <w:rPr/>
      </w:pPr>
      <w:r w:rsidDel="00000000" w:rsidR="00000000" w:rsidRPr="00000000">
        <w:rPr>
          <w:b w:val="1"/>
          <w:bCs w:val="1"/>
          <w:sz w:val="38"/>
          <w:szCs w:val="38"/>
          <w:rtl w:val="0"/>
        </w:rPr>
        <w:t xml:space="preserve">STEP 4 홈페이지 데이터 활용 예시 보고서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Heading1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1. 분석 목적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STEP 3에서 구성한 포트폴리오는 KODEX 미국나스닥100 65%, KODEX iShares미국하이일드액티브 15%, ACE KRX금현물 20%로 이루어져 있다. STEP 4에서는 이 포트폴리오를 고정된 비중으로 방치하지 않고, EPI Advisor 홈페이지의 EGCI 데이터, 테마별 수익률, ETF별 수익률과 MDD 데이터를 활용해 매월 점검하고 조정하는 방식을 제시하고자 한다.</w:t>
      </w:r>
    </w:p>
    <w:p w:rsidR="00000000" w:rsidDel="00000000" w:rsidP="00000000" w:rsidRDefault="00000000" w:rsidRPr="00000000" w14:paraId="00000004">
      <w:pPr>
        <w:pStyle w:val="Heading1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2. 활용한 홈페이지 데이터</w:t>
      </w:r>
    </w:p>
    <w:tbl>
      <w:tblPr>
        <w:tblStyle w:val="Table1"/>
        <w:tblW w:w="9360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100"/>
        <w:gridCol w:w="4100"/>
        <w:gridCol w:w="3160"/>
        <w:tblGridChange w:id="0">
          <w:tblGrid>
            <w:gridCol w:w="2100"/>
            <w:gridCol w:w="4100"/>
            <w:gridCol w:w="3160"/>
          </w:tblGrid>
        </w:tblGridChange>
      </w:tblGrid>
      <w:tr>
        <w:trPr>
          <w:cantSplit w:val="0"/>
          <w:tblHeader w:val="0"/>
        </w:trPr>
        <w:tc>
          <w:tcPr>
            <w:shd w:fill="f2f4f7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05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0b2545"/>
                <w:rtl w:val="0"/>
              </w:rPr>
              <w:t xml:space="preserve">데이터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4f7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06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0b2545"/>
                <w:rtl w:val="0"/>
              </w:rPr>
              <w:t xml:space="preserve">확인 내용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4f7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07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0b2545"/>
                <w:rtl w:val="0"/>
              </w:rPr>
              <w:t xml:space="preserve">활용 방식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08">
            <w:pPr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EGCI 시장경제 체크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09">
            <w:pPr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2026년 7월 기준 우세 테마는 탄소배출권, 상승 확률 61%, 하락 확률 39%, 투자 판단 매수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0A">
            <w:pPr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월간 후보 테마를 고르는 1차 필터로 활용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0B">
            <w:pPr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유리한 테마 TOP 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0C">
            <w:pPr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탄소배출권, 금융, 빅테크, 글로벌반도체, 중공업 순으로 제시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기존 포트폴리오에 추가할 위성 자산 후보군으로 검토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0E">
            <w:pPr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Weekly Hot ETF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0F">
            <w:pPr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1개월 평균수익률 상위 테마와 1개월 유입액 증가율 상위 테마 확인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단기 모멘텀과 자금 유입 흐름을 확인하는 보조 지표로 활용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ETF 상세 지표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평균 1개월/3개월 수익률, 1개월 최대 MDD, 투자 지역, 집중도, 운용 방식 확인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편입 여부와 비중 상한을 정하는 핵심 판단 자료로 활용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Style w:val="Heading1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3. 데이터 해석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  <w:t xml:space="preserve">EGCI에서 탄소배출권, 빅테크, 글로벌반도체가 유리한 테마로 제시되었다고 해서 해당 테마를 모두 큰 비중으로 편입하지는 않는다. EGCI는 이번 달 어떤 테마가 유리한 환경에 있는지를 알려주는 방향성 지표이고, ETF별 수익률과 MDD는 그 테마를 실제 포트폴리오에서 얼마나 감당할 수 있는지를 보여주는 위험 지표라고 판단했다.</w: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  <w:t xml:space="preserve">예를 들어 글로벌반도체는 EGCI상 유리한 테마에 포함되어 있고 최근 수익률도 높지만, 일부 ETF의 1개월 최대 MDD가 -40% 수준까지 나타나 핵심 자산으로 편입하기에는 변동성이 크다. 반면 미국하이일드는 수익률은 크지 않지만 EPI Advisor에서 평균 1개월 수익률 +0.6%, 평균 3개월 수익률 +1.8%, 1개월 최대 MDD -8.4%로 제시되어 중간 위험 자산으로 활용할 여지가 있다.</w:t>
      </w:r>
    </w:p>
    <w:p w:rsidR="00000000" w:rsidDel="00000000" w:rsidP="00000000" w:rsidRDefault="00000000" w:rsidRPr="00000000" w14:paraId="00000018">
      <w:pPr>
        <w:pStyle w:val="Heading1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4. 향후 포트폴리오 조정 규칙</w:t>
      </w:r>
    </w:p>
    <w:tbl>
      <w:tblPr>
        <w:tblStyle w:val="Table2"/>
        <w:tblW w:w="9360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900"/>
        <w:gridCol w:w="4100"/>
        <w:gridCol w:w="3360"/>
        <w:tblGridChange w:id="0">
          <w:tblGrid>
            <w:gridCol w:w="1900"/>
            <w:gridCol w:w="4100"/>
            <w:gridCol w:w="3360"/>
          </w:tblGrid>
        </w:tblGridChange>
      </w:tblGrid>
      <w:tr>
        <w:trPr>
          <w:cantSplit w:val="0"/>
          <w:tblHeader w:val="0"/>
        </w:trPr>
        <w:tc>
          <w:tcPr>
            <w:shd w:fill="f2f4f7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0b2545"/>
                <w:rtl w:val="0"/>
              </w:rPr>
              <w:t xml:space="preserve">규칙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4f7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0b2545"/>
                <w:rtl w:val="0"/>
              </w:rPr>
              <w:t xml:space="preserve">판단 기준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4f7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0b2545"/>
                <w:rtl w:val="0"/>
              </w:rPr>
              <w:t xml:space="preserve">실행 방식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코어 유지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나스닥100은 성장형 포트폴리오의 중심 자산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기본 60~65% 유지, MDD 확대 시 50~55%까지 축소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EGCI 후보 편입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상승 확률이 높고 투자 판단이 매수인 테마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처음부터 큰 비중을 배정하지 않고 5~10% 위성 자산으로 시험 편입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22">
            <w:pPr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MDD 비중 제한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1개월 최대 MDD가 과도한 ETF는 변동성 관리 필요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MDD -10% 안팎은 보조 자산, -20% 초과는 5% 이내, -40% 수준은 관찰 대상으로 분류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25">
            <w:pPr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수급 보조 확인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1개월 유입액 증가율이 높은 테마는 관심 확대 신호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27">
            <w:pPr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수익률과 MDD를 함께 확인한 뒤 진입 여부 결정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pStyle w:val="Heading1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5. 현재 포트폴리오에 적용한 예시</w:t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  <w:t xml:space="preserve">현재 기본 포트폴리오는 나스닥100 65%, 미국하이일드 15%, 금 20%이다. 여기에 EGCI 데이터를 적용하면, 다음 달에는 탄소배출권과 글로벌반도체를 후보군에 올려둘 수 있다. 다만 글로벌반도체 ETF는 최근 수익률이 높아도 MDD가 매우 큰 상품이 있어 바로 편입하지 않고, 탄소배출권은 EGCI상 우세하지만 정책·가격 변동성이 크므로 5%만 시험 편입하는 방식이 적절하다고 판단했다.</w:t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  <w:t xml:space="preserve">예를 들어 나스닥100 60%, 미국하이일드 15%, 금 20%, 탄소배출권 5%처럼 조정할 수 있다. 이 경우 성장 자산의 중심은 유지하면서도 EGCI가 제시한 유리한 테마를 소규모로 반영할 수 있다. 이후 다음 달 EGCI에서 탄소배출권의 상승 확률이 낮아지거나 MDD가 확대되면 해당 비중을 다시 금 또는 하이일드로 되돌린다.</w:t>
      </w:r>
    </w:p>
    <w:p w:rsidR="00000000" w:rsidDel="00000000" w:rsidP="00000000" w:rsidRDefault="00000000" w:rsidRPr="00000000" w14:paraId="0000002C">
      <w:pPr>
        <w:pStyle w:val="Heading1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6. 결론</w:t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0"/>
        </w:rPr>
        <w:t xml:space="preserve">EPI Advisor 홈페이지 데이터는 단순히 ETF를 고르는 목록이 아니라, 포트폴리오를 점검하는 월간 운용 도구로 활용할 수 있다. EGCI는 시장과 테마의 방향성을 확인하는 지표로, ETF별 평균 수익률은 수익 기회를 판단하는 지표로, MDD는 감당 가능한 위험 수준을 정하는 지표로 사용한다.</w:t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  <w:t xml:space="preserve">따라서 포트폴리오 운용 원칙은 “EGCI로 후보 테마를 찾고, 수익률로 모멘텀을 확인하며, MDD로 비중을 제한한다”로 정리할 수 있다. 이를 통해 단기 유행을 무작정 따라가기보다, 데이터에 근거해 성장성과 위험을 함께 관리하는 포트폴리오를 형성하고자 한다.</w:t>
      </w:r>
    </w:p>
    <w:sectPr>
      <w:footerReference r:id="rId6" w:type="default"/>
      <w:pgSz w:h="15840" w:w="12240" w:orient="portrait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Malgun Gothic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right"/>
      <w:rPr>
        <w:rFonts w:ascii="Malgun Gothic" w:cs="Malgun Gothic" w:eastAsia="Malgun Gothic" w:hAnsi="Malgun Gothic"/>
        <w:b w:val="0"/>
        <w:bCs w:val="0"/>
        <w:i w:val="0"/>
        <w:iCs w:val="0"/>
        <w:smallCaps w:val="0"/>
        <w:strike w:val="0"/>
        <w:color w:val="000000"/>
        <w:sz w:val="21"/>
        <w:szCs w:val="21"/>
        <w:u w:val="none"/>
        <w:shd w:fill="auto" w:val="clear"/>
        <w:vertAlign w:val="baseline"/>
      </w:rPr>
    </w:pPr>
    <w:r w:rsidDel="00000000" w:rsidR="00000000" w:rsidRPr="00000000">
      <w:rPr>
        <w:rFonts w:ascii="Malgun Gothic" w:cs="Malgun Gothic" w:eastAsia="Malgun Gothic" w:hAnsi="Malgun Gothic"/>
        <w:b w:val="0"/>
        <w:bCs w:val="0"/>
        <w:i w:val="0"/>
        <w:iCs w:val="0"/>
        <w:smallCaps w:val="0"/>
        <w:strike w:val="0"/>
        <w:color w:val="555555"/>
        <w:sz w:val="18"/>
        <w:szCs w:val="18"/>
        <w:u w:val="none"/>
        <w:shd w:fill="auto" w:val="clear"/>
        <w:vertAlign w:val="baseline"/>
        <w:rtl w:val="0"/>
      </w:rPr>
      <w:t xml:space="preserve">STEP 4 예시 보고서</w:t>
    </w: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Malgun Gothic" w:cs="Malgun Gothic" w:eastAsia="Malgun Gothic" w:hAnsi="Malgun Gothic"/>
        <w:sz w:val="21"/>
        <w:szCs w:val="21"/>
        <w:lang w:val="en"/>
      </w:rPr>
    </w:rPrDefault>
    <w:pPrDefault>
      <w:pPr>
        <w:spacing w:after="120" w:line="264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40" w:before="280" w:lineRule="auto"/>
    </w:pPr>
    <w:rPr>
      <w:rFonts w:ascii="Calibri" w:cs="Calibri" w:eastAsia="Calibri" w:hAnsi="Calibri"/>
      <w:b w:val="1"/>
      <w:bCs w:val="1"/>
      <w:color w:val="2e74b5"/>
      <w:sz w:val="30"/>
      <w:szCs w:val="30"/>
    </w:rPr>
  </w:style>
  <w:style w:type="paragraph" w:styleId="Heading2">
    <w:name w:val="heading 2"/>
    <w:basedOn w:val="Normal"/>
    <w:next w:val="Normal"/>
    <w:pPr>
      <w:keepNext w:val="1"/>
      <w:keepLines w:val="1"/>
      <w:spacing w:after="100" w:before="200" w:lineRule="auto"/>
    </w:pPr>
    <w:rPr>
      <w:rFonts w:ascii="Calibri" w:cs="Calibri" w:eastAsia="Calibri" w:hAnsi="Calibri"/>
      <w:b w:val="1"/>
      <w:bCs w:val="1"/>
      <w:color w:val="2e74b5"/>
      <w:sz w:val="25"/>
      <w:szCs w:val="25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rFonts w:ascii="Calibri" w:cs="Calibri" w:eastAsia="Calibri" w:hAnsi="Calibri"/>
      <w:b w:val="1"/>
      <w:bCs w:val="1"/>
      <w:color w:val="1f4d78"/>
      <w:sz w:val="23"/>
      <w:szCs w:val="23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i w:val="1"/>
      <w:iCs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color w:val="243f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i w:val="1"/>
      <w:iCs w:val="1"/>
      <w:color w:val="243f61"/>
    </w:rPr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300" w:line="240" w:lineRule="auto"/>
    </w:pPr>
    <w:rPr>
      <w:rFonts w:ascii="Calibri" w:cs="Calibri" w:eastAsia="Calibri" w:hAnsi="Calibri"/>
      <w:color w:val="17365d"/>
      <w:sz w:val="52"/>
      <w:szCs w:val="52"/>
    </w:rPr>
  </w:style>
  <w:style w:type="paragraph" w:styleId="Subtitle">
    <w:name w:val="Subtitle"/>
    <w:basedOn w:val="Normal"/>
    <w:next w:val="Normal"/>
    <w:pPr/>
    <w:rPr>
      <w:rFonts w:ascii="Calibri" w:cs="Calibri" w:eastAsia="Calibri" w:hAnsi="Calibri"/>
      <w:i w:val="1"/>
      <w:iCs w:val="1"/>
      <w:color w:val="4f81bd"/>
      <w:sz w:val="24"/>
      <w:szCs w:val="24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