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880"/>
      </w:pPr>
      <w:r>
        <w:rPr>
          <w:rFonts w:ascii="Arial" w:cs="Arial" w:eastAsia="Arial" w:hAnsi="Arial"/>
          <w:b/>
          <w:bCs/>
          <w:caps/>
          <w:color w:val="1454E6"/>
          <w:spacing w:val="60"/>
          <w:sz w:val="20"/>
          <w:szCs w:val="20"/>
        </w:rPr>
        <w:t xml:space="preserve">PALLIS.AI INC.</w:t>
      </w:r>
    </w:p>
    <w:p>
      <w:pPr>
        <w:spacing w:after="120"/>
      </w:pPr>
      <w:r>
        <w:rPr>
          <w:rFonts w:ascii="Arial" w:cs="Arial" w:eastAsia="Arial" w:hAnsi="Arial"/>
          <w:b/>
          <w:bCs/>
          <w:color w:val="0D0D0B"/>
          <w:sz w:val="56"/>
          <w:szCs w:val="56"/>
        </w:rPr>
        <w:t xml:space="preserve">Data Processing Agreement</w:t>
      </w:r>
    </w:p>
    <w:p>
      <w:pPr>
        <w:spacing w:after="480"/>
      </w:pPr>
      <w:r>
        <w:rPr>
          <w:rFonts w:ascii="Arial" w:cs="Arial" w:eastAsia="Arial" w:hAnsi="Arial"/>
          <w:color w:val="5A5A58"/>
          <w:sz w:val="26"/>
          <w:szCs w:val="26"/>
        </w:rPr>
        <w:t xml:space="preserve">Controller–Processor Agreement under applicable data protection law</w:t>
      </w:r>
    </w:p>
    <w:p>
      <w:pPr>
        <w:pBdr>
          <w:bottom w:val="single" w:color="1454E6" w:sz="8" w:space="4"/>
        </w:pBdr>
        <w:spacing w:after="60"/>
      </w:pPr>
      <w:r>
        <w:t xml:space="preserve"/>
      </w:r>
    </w:p>
    <w:p>
      <w:pPr>
        <w:spacing w:after="120"/>
      </w:pPr>
      <w:r>
        <w:t xml:space="preserve"/>
      </w:r>
    </w:p>
    <w:p>
      <w:pPr>
        <w:spacing w:after="60"/>
      </w:pPr>
      <w:r>
        <w:rPr>
          <w:rFonts w:ascii="Arial" w:cs="Arial" w:eastAsia="Arial" w:hAnsi="Arial"/>
          <w:color w:val="5A5A58"/>
          <w:sz w:val="18"/>
          <w:szCs w:val="18"/>
        </w:rPr>
        <w:t xml:space="preserve">Version 1.0</w:t>
      </w:r>
    </w:p>
    <w:p>
      <w:pPr>
        <w:spacing w:after="60"/>
      </w:pPr>
      <w:r>
        <w:rPr>
          <w:rFonts w:ascii="Arial" w:cs="Arial" w:eastAsia="Arial" w:hAnsi="Arial"/>
          <w:color w:val="5A5A58"/>
          <w:sz w:val="18"/>
          <w:szCs w:val="18"/>
        </w:rPr>
        <w:t xml:space="preserve">Effective: January 1, 2026</w:t>
      </w:r>
    </w:p>
    <w:p>
      <w:pPr>
        <w:spacing w:after="60"/>
      </w:pPr>
      <w:r>
        <w:rPr>
          <w:rFonts w:ascii="Arial" w:cs="Arial" w:eastAsia="Arial" w:hAnsi="Arial"/>
          <w:color w:val="5A5A58"/>
          <w:sz w:val="18"/>
          <w:szCs w:val="18"/>
        </w:rPr>
        <w:t xml:space="preserve">Pallis.ai Inc.  |  Delaware  |  access@pallis.ai</w:t>
      </w:r>
    </w:p>
    <w:p>
      <w:r>
        <w:br/>
      </w:r>
    </w:p>
    <w:p>
      <w:pPr>
        <w:pStyle w:val="Heading1"/>
      </w:pPr>
      <w:r>
        <w:t xml:space="preserve">1. Parties and Scope</w:t>
      </w:r>
    </w:p>
    <w:p>
      <w:pPr>
        <w:spacing w:after="160"/>
      </w:pPr>
      <w:r>
        <w:t xml:space="preserve">This Data Processing Agreement ("DPA") forms part of the Master Subscription Agreement or other written agreement between Pallis.ai Inc., a Delaware corporation ("Processor"), and the Customer entity identified in the applicable Order Form ("Controller").</w:t>
      </w:r>
    </w:p>
    <w:p>
      <w:pPr>
        <w:spacing w:after="160"/>
      </w:pPr>
      <w:r>
        <w:t xml:space="preserve">This DPA applies to all Processing of Personal Data carried out by Pallis.ai Inc. on behalf of the Controller in connection with the Pallis intelligence platform (the "Service").</w:t>
      </w:r>
    </w:p>
    <w:p>
      <w:pPr>
        <w:spacing w:after="120"/>
      </w:pPr>
      <w:r>
        <w:t xml:space="preserve"/>
      </w:r>
    </w:p>
    <w:p>
      <w:pPr>
        <w:pStyle w:val="Heading1"/>
      </w:pPr>
      <w:r>
        <w:t xml:space="preserve">2. Definitions</w:t>
      </w:r>
    </w:p>
    <w:p>
      <w:pPr>
        <w:spacing w:after="160"/>
      </w:pPr>
      <w:r>
        <w:t xml:space="preserve">For the purposes of this DPA:</w:t>
      </w:r>
    </w:p>
    <w:p>
      <w:pPr>
        <w:pStyle w:val="ListParagraph"/>
        <w:numPr>
          <w:ilvl w:val="0"/>
          <w:numId w:val="2"/>
        </w:numPr>
        <w:spacing w:after="80"/>
      </w:pPr>
      <w:r>
        <w:t xml:space="preserve">"Personal Data" means any information relating to an identified or identifiable natural person that the Controller submits to the Service.</w:t>
      </w:r>
    </w:p>
    <w:p>
      <w:pPr>
        <w:pStyle w:val="ListParagraph"/>
        <w:numPr>
          <w:ilvl w:val="0"/>
          <w:numId w:val="2"/>
        </w:numPr>
        <w:spacing w:after="80"/>
      </w:pPr>
      <w:r>
        <w:t xml:space="preserve">"Processing" means any operation performed on Personal Data, including collection, storage, retrieval, use, disclosure, and deletion.</w:t>
      </w:r>
    </w:p>
    <w:p>
      <w:pPr>
        <w:pStyle w:val="ListParagraph"/>
        <w:numPr>
          <w:ilvl w:val="0"/>
          <w:numId w:val="2"/>
        </w:numPr>
        <w:spacing w:after="80"/>
      </w:pPr>
      <w:r>
        <w:t xml:space="preserve">"Sub-processor" means any third party engaged by the Processor to Process Personal Data on behalf of the Controller.</w:t>
      </w:r>
    </w:p>
    <w:p>
      <w:pPr>
        <w:pStyle w:val="ListParagraph"/>
        <w:numPr>
          <w:ilvl w:val="0"/>
          <w:numId w:val="2"/>
        </w:numPr>
        <w:spacing w:after="80"/>
      </w:pPr>
      <w:r>
        <w:t xml:space="preserve">"Data Protection Law" means all applicable privacy and data protection legislation, including the California Consumer Privacy Act (CCPA), the EU General Data Protection Regulation (GDPR) where applicable, and equivalent US state privacy laws.</w:t>
      </w:r>
    </w:p>
    <w:p>
      <w:pPr>
        <w:pStyle w:val="ListParagraph"/>
        <w:numPr>
          <w:ilvl w:val="0"/>
          <w:numId w:val="2"/>
        </w:numPr>
        <w:spacing w:after="80"/>
      </w:pPr>
      <w:r>
        <w:t xml:space="preserve">"Security Incident" means any accidental or unlawful access, disclosure, alteration, or destruction of Personal Data.</w:t>
      </w:r>
    </w:p>
    <w:p>
      <w:pPr>
        <w:spacing w:after="120"/>
      </w:pPr>
      <w:r>
        <w:t xml:space="preserve"/>
      </w:r>
    </w:p>
    <w:p>
      <w:pPr>
        <w:pStyle w:val="Heading1"/>
      </w:pPr>
      <w:r>
        <w:t xml:space="preserve">3. Processor Obligations</w:t>
      </w:r>
    </w:p>
    <w:p>
      <w:pPr>
        <w:pStyle w:val="Heading2"/>
      </w:pPr>
      <w:r>
        <w:t xml:space="preserve">3.1 Instructions</w:t>
      </w:r>
    </w:p>
    <w:p>
      <w:pPr>
        <w:spacing w:after="160"/>
      </w:pPr>
      <w:r>
        <w:t xml:space="preserve">Processor shall Process Personal Data only on documented instructions from Controller, including as set out in this DPA and any applicable Order Form, unless required to do so by applicable law.</w:t>
      </w:r>
    </w:p>
    <w:p>
      <w:pPr>
        <w:pStyle w:val="Heading2"/>
      </w:pPr>
      <w:r>
        <w:t xml:space="preserve">3.2 Confidentiality</w:t>
      </w:r>
    </w:p>
    <w:p>
      <w:pPr>
        <w:spacing w:after="160"/>
      </w:pPr>
      <w:r>
        <w:t xml:space="preserve">Processor shall ensure that persons authorised to Process the Personal Data are subject to appropriate confidentiality obligations.</w:t>
      </w:r>
    </w:p>
    <w:p>
      <w:pPr>
        <w:pStyle w:val="Heading2"/>
      </w:pPr>
      <w:r>
        <w:t xml:space="preserve">3.3 Security</w:t>
      </w:r>
    </w:p>
    <w:p>
      <w:pPr>
        <w:spacing w:after="160"/>
      </w:pPr>
      <w:r>
        <w:t xml:space="preserve">Processor shall implement and maintain appropriate technical and organisational measures to protect Personal Data against Security Incidents, including:</w:t>
      </w:r>
    </w:p>
    <w:p>
      <w:pPr>
        <w:pStyle w:val="ListParagraph"/>
        <w:numPr>
          <w:ilvl w:val="0"/>
          <w:numId w:val="2"/>
        </w:numPr>
        <w:spacing w:after="80"/>
      </w:pPr>
      <w:r>
        <w:t xml:space="preserve">Encryption of Personal Data at rest (AES-256) and in transit (TLS 1.2+)</w:t>
      </w:r>
    </w:p>
    <w:p>
      <w:pPr>
        <w:pStyle w:val="ListParagraph"/>
        <w:numPr>
          <w:ilvl w:val="0"/>
          <w:numId w:val="2"/>
        </w:numPr>
        <w:spacing w:after="80"/>
      </w:pPr>
      <w:r>
        <w:t xml:space="preserve">Row-level security (RLS) enforced at the database layer ensuring architectural multi-tenant isolation</w:t>
      </w:r>
    </w:p>
    <w:p>
      <w:pPr>
        <w:pStyle w:val="ListParagraph"/>
        <w:numPr>
          <w:ilvl w:val="0"/>
          <w:numId w:val="2"/>
        </w:numPr>
        <w:spacing w:after="80"/>
      </w:pPr>
      <w:r>
        <w:t xml:space="preserve">Access controls with role-based permissions and principle of least privilege</w:t>
      </w:r>
    </w:p>
    <w:p>
      <w:pPr>
        <w:pStyle w:val="ListParagraph"/>
        <w:numPr>
          <w:ilvl w:val="0"/>
          <w:numId w:val="2"/>
        </w:numPr>
        <w:spacing w:after="80"/>
      </w:pPr>
      <w:r>
        <w:t xml:space="preserve">Audit logging of all data access and modification events</w:t>
      </w:r>
    </w:p>
    <w:p>
      <w:pPr>
        <w:pStyle w:val="ListParagraph"/>
        <w:numPr>
          <w:ilvl w:val="0"/>
          <w:numId w:val="2"/>
        </w:numPr>
        <w:spacing w:after="80"/>
      </w:pPr>
      <w:r>
        <w:t xml:space="preserve">Regular security assessments and penetration testing</w:t>
      </w:r>
    </w:p>
    <w:p>
      <w:pPr>
        <w:pStyle w:val="ListParagraph"/>
        <w:numPr>
          <w:ilvl w:val="0"/>
          <w:numId w:val="2"/>
        </w:numPr>
        <w:spacing w:after="80"/>
      </w:pPr>
      <w:r>
        <w:t xml:space="preserve">Incident response plan with defined detection, containment, and notification procedures</w:t>
      </w:r>
    </w:p>
    <w:p>
      <w:pPr>
        <w:spacing w:after="120"/>
      </w:pPr>
      <w:r>
        <w:t xml:space="preserve"/>
      </w:r>
    </w:p>
    <w:p>
      <w:pPr>
        <w:pStyle w:val="Heading2"/>
      </w:pPr>
      <w:r>
        <w:t xml:space="preserve">3.4 Sub-processors</w:t>
      </w:r>
    </w:p>
    <w:p>
      <w:pPr>
        <w:spacing w:after="160"/>
      </w:pPr>
      <w:r>
        <w:t xml:space="preserve">Controller authorises Processor to engage the following Sub-processors: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rPr>
          <w:tblHeader/>
        </w:trPr>
        <w:tc>
          <w:tcPr>
            <w:tcW w:type="dxa" w:w="2800"/>
            <w:tcBorders>
              <w:top w:val="single" w:color="D9D9D7" w:sz="1"/>
              <w:left w:val="single" w:color="D9D9D7" w:sz="1"/>
              <w:bottom w:val="single" w:color="D9D9D7" w:sz="1"/>
              <w:right w:val="single" w:color="D9D9D7" w:sz="1"/>
            </w:tcBorders>
            <w:shd w:fill="1454E6" w:val="clear"/>
            <w:tcMar>
              <w:top w:type="dxa" w:w="80"/>
              <w:left w:type="dxa" w:w="120"/>
              <w:bottom w:type="dxa" w:w="80"/>
              <w:right w:type="dxa" w:w="120"/>
            </w:tcMar>
          </w:tcPr>
          <w:p>
            <w:r>
              <w:rPr>
                <w:rFonts w:ascii="Arial" w:cs="Arial" w:eastAsia="Arial" w:hAnsi="Arial"/>
                <w:b/>
                <w:bCs/>
                <w:color w:val="FFFFFF"/>
                <w:sz w:val="20"/>
                <w:szCs w:val="20"/>
              </w:rPr>
              <w:t xml:space="preserve">Sub-processor</w:t>
            </w:r>
          </w:p>
        </w:tc>
        <w:tc>
          <w:tcPr>
            <w:tcW w:type="dxa" w:w="3200"/>
            <w:tcBorders>
              <w:top w:val="single" w:color="D9D9D7" w:sz="1"/>
              <w:left w:val="single" w:color="D9D9D7" w:sz="1"/>
              <w:bottom w:val="single" w:color="D9D9D7" w:sz="1"/>
              <w:right w:val="single" w:color="D9D9D7" w:sz="1"/>
            </w:tcBorders>
            <w:shd w:fill="1454E6"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360"/>
            <w:tcBorders>
              <w:top w:val="single" w:color="D9D9D7" w:sz="1"/>
              <w:left w:val="single" w:color="D9D9D7" w:sz="1"/>
              <w:bottom w:val="single" w:color="D9D9D7" w:sz="1"/>
              <w:right w:val="single" w:color="D9D9D7" w:sz="1"/>
            </w:tcBorders>
            <w:shd w:fill="1454E6" w:val="clear"/>
            <w:tcMar>
              <w:top w:type="dxa" w:w="80"/>
              <w:left w:type="dxa" w:w="120"/>
              <w:bottom w:type="dxa" w:w="80"/>
              <w:right w:type="dxa" w:w="120"/>
            </w:tcMar>
          </w:tcPr>
          <w:p>
            <w:r>
              <w:rPr>
                <w:rFonts w:ascii="Arial" w:cs="Arial" w:eastAsia="Arial" w:hAnsi="Arial"/>
                <w:b/>
                <w:bCs/>
                <w:color w:val="FFFFFF"/>
                <w:sz w:val="20"/>
                <w:szCs w:val="20"/>
              </w:rPr>
              <w:t xml:space="preserve">Location</w:t>
            </w:r>
          </w:p>
        </w:tc>
      </w:tr>
      <w:tr>
        <w:tc>
          <w:tcPr>
            <w:tcW w:type="dxa" w:w="28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Supabase Inc.</w:t>
            </w:r>
          </w:p>
        </w:tc>
        <w:tc>
          <w:tcPr>
            <w:tcW w:type="dxa" w:w="32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Database hosting (PostgreSQL)</w:t>
            </w:r>
          </w:p>
        </w:tc>
        <w:tc>
          <w:tcPr>
            <w:tcW w:type="dxa" w:w="336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United States</w:t>
            </w:r>
          </w:p>
        </w:tc>
      </w:tr>
      <w:tr>
        <w:tc>
          <w:tcPr>
            <w:tcW w:type="dxa" w:w="28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Cloudflare Inc.</w:t>
            </w:r>
          </w:p>
        </w:tc>
        <w:tc>
          <w:tcPr>
            <w:tcW w:type="dxa" w:w="32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Edge network, Pages hosting, Functions proxy</w:t>
            </w:r>
          </w:p>
        </w:tc>
        <w:tc>
          <w:tcPr>
            <w:tcW w:type="dxa" w:w="336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United States</w:t>
            </w:r>
          </w:p>
        </w:tc>
      </w:tr>
      <w:tr>
        <w:tc>
          <w:tcPr>
            <w:tcW w:type="dxa" w:w="28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Anthropic PBC</w:t>
            </w:r>
          </w:p>
        </w:tc>
        <w:tc>
          <w:tcPr>
            <w:tcW w:type="dxa" w:w="32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AI inference (Claude API — anonymised queries only)</w:t>
            </w:r>
          </w:p>
        </w:tc>
        <w:tc>
          <w:tcPr>
            <w:tcW w:type="dxa" w:w="336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United States</w:t>
            </w:r>
          </w:p>
        </w:tc>
      </w:tr>
      <w:tr>
        <w:tc>
          <w:tcPr>
            <w:tcW w:type="dxa" w:w="28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Resend Inc.</w:t>
            </w:r>
          </w:p>
        </w:tc>
        <w:tc>
          <w:tcPr>
            <w:tcW w:type="dxa" w:w="320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Transactional email delivery</w:t>
            </w:r>
          </w:p>
        </w:tc>
        <w:tc>
          <w:tcPr>
            <w:tcW w:type="dxa" w:w="3360"/>
            <w:tcBorders>
              <w:top w:val="single" w:color="D9D9D7" w:sz="1"/>
              <w:left w:val="single" w:color="D9D9D7" w:sz="1"/>
              <w:bottom w:val="single" w:color="D9D9D7" w:sz="1"/>
              <w:right w:val="single" w:color="D9D9D7" w:sz="1"/>
            </w:tcBorders>
            <w:tcMar>
              <w:top w:type="dxa" w:w="80"/>
              <w:left w:type="dxa" w:w="120"/>
              <w:bottom w:type="dxa" w:w="80"/>
              <w:right w:type="dxa" w:w="120"/>
            </w:tcMar>
          </w:tcPr>
          <w:p>
            <w:r>
              <w:rPr>
                <w:rFonts w:ascii="Arial" w:cs="Arial" w:eastAsia="Arial" w:hAnsi="Arial"/>
                <w:sz w:val="20"/>
                <w:szCs w:val="20"/>
              </w:rPr>
              <w:t xml:space="preserve">United States</w:t>
            </w:r>
          </w:p>
        </w:tc>
      </w:tr>
    </w:tbl>
    <w:p>
      <w:pPr>
        <w:spacing w:after="120"/>
      </w:pPr>
      <w:r>
        <w:t xml:space="preserve"/>
      </w:r>
    </w:p>
    <w:p>
      <w:pPr>
        <w:spacing w:after="160"/>
      </w:pPr>
      <w:r>
        <w:t xml:space="preserve">Processor shall notify Controller of any intended addition or replacement of Sub-processors with at least 10 days prior written notice, providing Controller the opportunity to object.</w:t>
      </w:r>
    </w:p>
    <w:p>
      <w:pPr>
        <w:pStyle w:val="Heading2"/>
      </w:pPr>
      <w:r>
        <w:t xml:space="preserve">3.5 Data Subject Rights</w:t>
      </w:r>
    </w:p>
    <w:p>
      <w:pPr>
        <w:spacing w:after="160"/>
      </w:pPr>
      <w:r>
        <w:t xml:space="preserve">Processor shall promptly notify Controller of any requests from data subjects exercising their rights under applicable Data Protection Law and shall assist Controller in responding to such requests within the timeframes required by law.</w:t>
      </w:r>
    </w:p>
    <w:p>
      <w:pPr>
        <w:pStyle w:val="Heading2"/>
      </w:pPr>
      <w:r>
        <w:t xml:space="preserve">3.6 Security Incident Notification</w:t>
      </w:r>
    </w:p>
    <w:p>
      <w:pPr>
        <w:spacing w:after="160"/>
      </w:pPr>
      <w:r>
        <w:t xml:space="preserve">Processor shall notify Controller without undue delay, and in any event within 72 hours, of becoming aware of a Security Incident affecting Personal Data. Such notification shall include:</w:t>
      </w:r>
    </w:p>
    <w:p>
      <w:pPr>
        <w:pStyle w:val="ListParagraph"/>
        <w:numPr>
          <w:ilvl w:val="0"/>
          <w:numId w:val="2"/>
        </w:numPr>
        <w:spacing w:after="80"/>
      </w:pPr>
      <w:r>
        <w:t xml:space="preserve">The nature of the Security Incident and categories of Personal Data affected</w:t>
      </w:r>
    </w:p>
    <w:p>
      <w:pPr>
        <w:pStyle w:val="ListParagraph"/>
        <w:numPr>
          <w:ilvl w:val="0"/>
          <w:numId w:val="2"/>
        </w:numPr>
        <w:spacing w:after="80"/>
      </w:pPr>
      <w:r>
        <w:t xml:space="preserve">The approximate number of individuals affected</w:t>
      </w:r>
    </w:p>
    <w:p>
      <w:pPr>
        <w:pStyle w:val="ListParagraph"/>
        <w:numPr>
          <w:ilvl w:val="0"/>
          <w:numId w:val="2"/>
        </w:numPr>
        <w:spacing w:after="80"/>
      </w:pPr>
      <w:r>
        <w:t xml:space="preserve">The likely consequences of the Security Incident</w:t>
      </w:r>
    </w:p>
    <w:p>
      <w:pPr>
        <w:pStyle w:val="ListParagraph"/>
        <w:numPr>
          <w:ilvl w:val="0"/>
          <w:numId w:val="2"/>
        </w:numPr>
        <w:spacing w:after="80"/>
      </w:pPr>
      <w:r>
        <w:t xml:space="preserve">Measures taken or proposed to address the Security Incident</w:t>
      </w:r>
    </w:p>
    <w:p>
      <w:pPr>
        <w:spacing w:after="120"/>
      </w:pPr>
      <w:r>
        <w:t xml:space="preserve"/>
      </w:r>
    </w:p>
    <w:p>
      <w:pPr>
        <w:pStyle w:val="Heading2"/>
      </w:pPr>
      <w:r>
        <w:t xml:space="preserve">3.7 Data Retention and Deletion</w:t>
      </w:r>
    </w:p>
    <w:p>
      <w:pPr>
        <w:spacing w:after="160"/>
      </w:pPr>
      <w:r>
        <w:t xml:space="preserve">Upon termination or expiry of the Service agreement, Processor shall, at Controller's election, delete or return all Personal Data and delete existing copies within 30 days, unless applicable law requires continued storage.</w:t>
      </w:r>
    </w:p>
    <w:p>
      <w:pPr>
        <w:pStyle w:val="Heading1"/>
      </w:pPr>
      <w:r>
        <w:t xml:space="preserve">4. Controller Obligations</w:t>
      </w:r>
    </w:p>
    <w:p>
      <w:pPr>
        <w:spacing w:after="160"/>
      </w:pPr>
      <w:r>
        <w:t xml:space="preserve">Controller shall:</w:t>
      </w:r>
    </w:p>
    <w:p>
      <w:pPr>
        <w:pStyle w:val="ListParagraph"/>
        <w:numPr>
          <w:ilvl w:val="0"/>
          <w:numId w:val="2"/>
        </w:numPr>
        <w:spacing w:after="80"/>
      </w:pPr>
      <w:r>
        <w:t xml:space="preserve">Ensure that it has a lawful basis for Processing Personal Data and for providing it to Processor</w:t>
      </w:r>
    </w:p>
    <w:p>
      <w:pPr>
        <w:pStyle w:val="ListParagraph"/>
        <w:numPr>
          <w:ilvl w:val="0"/>
          <w:numId w:val="2"/>
        </w:numPr>
        <w:spacing w:after="80"/>
      </w:pPr>
      <w:r>
        <w:t xml:space="preserve">Provide Processor with complete and accurate instructions for Processing</w:t>
      </w:r>
    </w:p>
    <w:p>
      <w:pPr>
        <w:pStyle w:val="ListParagraph"/>
        <w:numPr>
          <w:ilvl w:val="0"/>
          <w:numId w:val="2"/>
        </w:numPr>
        <w:spacing w:after="80"/>
      </w:pPr>
      <w:r>
        <w:t xml:space="preserve">Comply with its obligations under applicable Data Protection Law, including any notice and consent requirements</w:t>
      </w:r>
    </w:p>
    <w:p>
      <w:pPr>
        <w:pStyle w:val="ListParagraph"/>
        <w:numPr>
          <w:ilvl w:val="0"/>
          <w:numId w:val="2"/>
        </w:numPr>
        <w:spacing w:after="80"/>
      </w:pPr>
      <w:r>
        <w:t xml:space="preserve">Not instruct Processor to Process Personal Data in a manner that would violate applicable law</w:t>
      </w:r>
    </w:p>
    <w:p>
      <w:pPr>
        <w:spacing w:after="120"/>
      </w:pPr>
      <w:r>
        <w:t xml:space="preserve"/>
      </w:r>
    </w:p>
    <w:p>
      <w:pPr>
        <w:pStyle w:val="Heading1"/>
      </w:pPr>
      <w:r>
        <w:t xml:space="preserve">5. Data Residency</w:t>
      </w:r>
    </w:p>
    <w:p>
      <w:pPr>
        <w:spacing w:after="160"/>
      </w:pPr>
      <w:r>
        <w:t xml:space="preserve">All Personal Data processed under this DPA is stored and processed exclusively within the United States on infrastructure operated by the Sub-processors listed in Section 3.4. Processor shall not transfer Personal Data outside the United States without prior written consent from Controller.</w:t>
      </w:r>
    </w:p>
    <w:p>
      <w:pPr>
        <w:spacing w:after="120"/>
      </w:pPr>
      <w:r>
        <w:t xml:space="preserve"/>
      </w:r>
    </w:p>
    <w:p>
      <w:pPr>
        <w:pStyle w:val="Heading1"/>
      </w:pPr>
      <w:r>
        <w:t xml:space="preserve">6. Audit Rights</w:t>
      </w:r>
    </w:p>
    <w:p>
      <w:pPr>
        <w:spacing w:after="160"/>
      </w:pPr>
      <w:r>
        <w:t xml:space="preserve">Controller may, upon 30 days' prior written notice, audit Processor's compliance with this DPA no more than once per calendar year. Such audit shall be conducted during normal business hours in a manner that minimises disruption to Processor's operations. Controller may request Processor provide documentation of its security controls and certifications in lieu of an on-site audit.</w:t>
      </w:r>
    </w:p>
    <w:p>
      <w:pPr>
        <w:spacing w:after="120"/>
      </w:pPr>
      <w:r>
        <w:t xml:space="preserve"/>
      </w:r>
    </w:p>
    <w:p>
      <w:pPr>
        <w:pStyle w:val="Heading1"/>
      </w:pPr>
      <w:r>
        <w:t xml:space="preserve">7. Liability</w:t>
      </w:r>
    </w:p>
    <w:p>
      <w:pPr>
        <w:spacing w:after="160"/>
      </w:pPr>
      <w:r>
        <w:t xml:space="preserve">Each party's liability under this DPA is subject to the limitations and exclusions set out in the Master Subscription Agreement. Nothing in this DPA limits either party's liability for death or personal injury caused by negligence, fraud, or any other liability that cannot be limited by law.</w:t>
      </w:r>
    </w:p>
    <w:p>
      <w:pPr>
        <w:spacing w:after="120"/>
      </w:pPr>
      <w:r>
        <w:t xml:space="preserve"/>
      </w:r>
    </w:p>
    <w:p>
      <w:pPr>
        <w:pStyle w:val="Heading1"/>
      </w:pPr>
      <w:r>
        <w:t xml:space="preserve">8. Term</w:t>
      </w:r>
    </w:p>
    <w:p>
      <w:pPr>
        <w:spacing w:after="160"/>
      </w:pPr>
      <w:r>
        <w:t xml:space="preserve">This DPA shall remain in effect for the duration of the Service agreement and shall automatically terminate upon the deletion of all Personal Data in accordance with Section 3.7.</w:t>
      </w:r>
    </w:p>
    <w:p>
      <w:pPr>
        <w:spacing w:after="120"/>
      </w:pPr>
      <w:r>
        <w:t xml:space="preserve"/>
      </w:r>
    </w:p>
    <w:p>
      <w:pPr>
        <w:pStyle w:val="Heading1"/>
      </w:pPr>
      <w:r>
        <w:t xml:space="preserve">9. Governing Law</w:t>
      </w:r>
    </w:p>
    <w:p>
      <w:pPr>
        <w:spacing w:after="160"/>
      </w:pPr>
      <w:r>
        <w:t xml:space="preserve">This DPA shall be governed by and construed in accordance with the laws of the State of Delaware, without regard to its conflict of law provisions.</w:t>
      </w:r>
    </w:p>
    <w:p>
      <w:pPr>
        <w:spacing w:after="120"/>
      </w:pPr>
      <w:r>
        <w:t xml:space="preserve"/>
      </w:r>
    </w:p>
    <w:p>
      <w:pPr>
        <w:pStyle w:val="Heading1"/>
      </w:pPr>
      <w:r>
        <w:t xml:space="preserve">10. Signatures</w:t>
      </w:r>
    </w:p>
    <w:p>
      <w:pPr>
        <w:spacing w:after="160"/>
      </w:pPr>
      <w:r>
        <w:t xml:space="preserve">By executing the Order Form or Master Subscription Agreement, the parties agree to be bound by the terms of this DPA as of the Effective Date stated above.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il" w:color="FFFFFF" w:sz="0"/>
              <w:left w:val="nil" w:color="FFFFFF" w:sz="0"/>
              <w:bottom w:val="nil" w:color="FFFFFF" w:sz="0"/>
              <w:right w:val="nil" w:color="FFFFFF" w:sz="0"/>
            </w:tcBorders>
            <w:tcMar>
              <w:top w:type="dxa" w:w="80"/>
              <w:left w:type="dxa" w:w="0"/>
              <w:bottom w:type="dxa" w:w="80"/>
              <w:right w:type="dxa" w:w="120"/>
            </w:tcMar>
          </w:tcPr>
          <w:p>
            <w:r>
              <w:rPr>
                <w:rFonts w:ascii="Arial" w:cs="Arial" w:eastAsia="Arial" w:hAnsi="Arial"/>
                <w:b/>
                <w:bCs/>
                <w:sz w:val="20"/>
                <w:szCs w:val="20"/>
              </w:rPr>
              <w:t xml:space="preserve">PALLIS.AI INC. (Processor)</w:t>
            </w:r>
          </w:p>
          <w:p>
            <w:pPr>
              <w:spacing w:after="120"/>
            </w:pPr>
            <w:r>
              <w:t xml:space="preserve"/>
            </w:r>
          </w:p>
          <w:p>
            <w:pPr>
              <w:spacing w:after="40"/>
            </w:pPr>
            <w:r>
              <w:rPr>
                <w:b/>
                <w:bCs/>
                <w:caps/>
                <w:color w:val="5A5A58"/>
                <w:sz w:val="18"/>
                <w:szCs w:val="18"/>
              </w:rPr>
              <w:t xml:space="preserve">Signature</w:t>
            </w:r>
          </w:p>
          <w:p>
            <w:pPr>
              <w:pBdr>
                <w:bottom w:val="single" w:color="0D0D0B" w:sz="4" w:space="2"/>
              </w:pBdr>
              <w:spacing w:after="160"/>
            </w:pPr>
            <w:r>
              <w:t xml:space="preserve"/>
            </w:r>
          </w:p>
          <w:p>
            <w:pPr>
              <w:spacing w:after="40"/>
            </w:pPr>
            <w:r>
              <w:rPr>
                <w:b/>
                <w:bCs/>
                <w:caps/>
                <w:color w:val="5A5A58"/>
                <w:sz w:val="18"/>
                <w:szCs w:val="18"/>
              </w:rPr>
              <w:t xml:space="preserve">Name</w:t>
            </w:r>
          </w:p>
          <w:p>
            <w:pPr>
              <w:pBdr>
                <w:bottom w:val="single" w:color="0D0D0B" w:sz="4" w:space="2"/>
              </w:pBdr>
              <w:spacing w:after="160"/>
            </w:pPr>
            <w:r>
              <w:t xml:space="preserve"/>
            </w:r>
          </w:p>
          <w:p>
            <w:pPr>
              <w:spacing w:after="40"/>
            </w:pPr>
            <w:r>
              <w:rPr>
                <w:b/>
                <w:bCs/>
                <w:caps/>
                <w:color w:val="5A5A58"/>
                <w:sz w:val="18"/>
                <w:szCs w:val="18"/>
              </w:rPr>
              <w:t xml:space="preserve">Title</w:t>
            </w:r>
          </w:p>
          <w:p>
            <w:pPr>
              <w:pBdr>
                <w:bottom w:val="single" w:color="0D0D0B" w:sz="4" w:space="2"/>
              </w:pBdr>
              <w:spacing w:after="160"/>
            </w:pPr>
            <w:r>
              <w:t xml:space="preserve"/>
            </w:r>
          </w:p>
          <w:p>
            <w:pPr>
              <w:spacing w:after="40"/>
            </w:pPr>
            <w:r>
              <w:rPr>
                <w:b/>
                <w:bCs/>
                <w:caps/>
                <w:color w:val="5A5A58"/>
                <w:sz w:val="18"/>
                <w:szCs w:val="18"/>
              </w:rPr>
              <w:t xml:space="preserve">Date</w:t>
            </w:r>
          </w:p>
          <w:p>
            <w:pPr>
              <w:pBdr>
                <w:bottom w:val="single" w:color="0D0D0B" w:sz="4" w:space="2"/>
              </w:pBdr>
              <w:spacing w:after="160"/>
            </w:pPr>
            <w:r>
              <w:t xml:space="preserve"/>
            </w:r>
          </w:p>
        </w:tc>
        <w:tc>
          <w:tcPr>
            <w:tcW w:type="dxa" w:w="4680"/>
            <w:tcBorders>
              <w:top w:val="nil" w:color="FFFFFF" w:sz="0"/>
              <w:left w:val="nil" w:color="FFFFFF" w:sz="0"/>
              <w:bottom w:val="nil" w:color="FFFFFF" w:sz="0"/>
              <w:right w:val="nil" w:color="FFFFFF" w:sz="0"/>
            </w:tcBorders>
            <w:tcMar>
              <w:top w:type="dxa" w:w="80"/>
              <w:left w:type="dxa" w:w="120"/>
              <w:bottom w:type="dxa" w:w="80"/>
              <w:right w:type="dxa" w:w="0"/>
            </w:tcMar>
          </w:tcPr>
          <w:p>
            <w:r>
              <w:rPr>
                <w:rFonts w:ascii="Arial" w:cs="Arial" w:eastAsia="Arial" w:hAnsi="Arial"/>
                <w:b/>
                <w:bCs/>
                <w:sz w:val="20"/>
                <w:szCs w:val="20"/>
              </w:rPr>
              <w:t xml:space="preserve">CUSTOMER (Controller)</w:t>
            </w:r>
          </w:p>
          <w:p>
            <w:pPr>
              <w:spacing w:after="120"/>
            </w:pPr>
            <w:r>
              <w:t xml:space="preserve"/>
            </w:r>
          </w:p>
          <w:p>
            <w:pPr>
              <w:spacing w:after="40"/>
            </w:pPr>
            <w:r>
              <w:rPr>
                <w:b/>
                <w:bCs/>
                <w:caps/>
                <w:color w:val="5A5A58"/>
                <w:sz w:val="18"/>
                <w:szCs w:val="18"/>
              </w:rPr>
              <w:t xml:space="preserve">Signature</w:t>
            </w:r>
          </w:p>
          <w:p>
            <w:pPr>
              <w:pBdr>
                <w:bottom w:val="single" w:color="0D0D0B" w:sz="4" w:space="2"/>
              </w:pBdr>
              <w:spacing w:after="160"/>
            </w:pPr>
            <w:r>
              <w:t xml:space="preserve"/>
            </w:r>
          </w:p>
          <w:p>
            <w:pPr>
              <w:spacing w:after="40"/>
            </w:pPr>
            <w:r>
              <w:rPr>
                <w:b/>
                <w:bCs/>
                <w:caps/>
                <w:color w:val="5A5A58"/>
                <w:sz w:val="18"/>
                <w:szCs w:val="18"/>
              </w:rPr>
              <w:t xml:space="preserve">Name</w:t>
            </w:r>
          </w:p>
          <w:p>
            <w:pPr>
              <w:pBdr>
                <w:bottom w:val="single" w:color="0D0D0B" w:sz="4" w:space="2"/>
              </w:pBdr>
              <w:spacing w:after="160"/>
            </w:pPr>
            <w:r>
              <w:t xml:space="preserve"/>
            </w:r>
          </w:p>
          <w:p>
            <w:pPr>
              <w:spacing w:after="40"/>
            </w:pPr>
            <w:r>
              <w:rPr>
                <w:b/>
                <w:bCs/>
                <w:caps/>
                <w:color w:val="5A5A58"/>
                <w:sz w:val="18"/>
                <w:szCs w:val="18"/>
              </w:rPr>
              <w:t xml:space="preserve">Title</w:t>
            </w:r>
          </w:p>
          <w:p>
            <w:pPr>
              <w:pBdr>
                <w:bottom w:val="single" w:color="0D0D0B" w:sz="4" w:space="2"/>
              </w:pBdr>
              <w:spacing w:after="160"/>
            </w:pPr>
            <w:r>
              <w:t xml:space="preserve"/>
            </w:r>
          </w:p>
          <w:p>
            <w:pPr>
              <w:spacing w:after="40"/>
            </w:pPr>
            <w:r>
              <w:rPr>
                <w:b/>
                <w:bCs/>
                <w:caps/>
                <w:color w:val="5A5A58"/>
                <w:sz w:val="18"/>
                <w:szCs w:val="18"/>
              </w:rPr>
              <w:t xml:space="preserve">Date</w:t>
            </w:r>
          </w:p>
          <w:p>
            <w:pPr>
              <w:pBdr>
                <w:bottom w:val="single" w:color="0D0D0B" w:sz="4" w:space="2"/>
              </w:pBdr>
              <w:spacing w:after="160"/>
            </w:pPr>
            <w:r>
              <w:t xml:space="preserve"/>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7" w:sz="4" w:space="4"/>
      </w:pBdr>
      <w:tabs>
        <w:tab w:val="right" w:pos="9026"/>
      </w:tabs>
      <w:spacing w:before="80"/>
    </w:pPr>
    <w:r>
      <w:rPr>
        <w:rFonts w:ascii="Arial" w:cs="Arial" w:eastAsia="Arial" w:hAnsi="Arial"/>
        <w:color w:val="5A5A58"/>
        <w:sz w:val="16"/>
        <w:szCs w:val="16"/>
      </w:rPr>
      <w:t xml:space="preserve">Confidential  |  pallis.ai</w:t>
    </w:r>
    <w:r>
      <w:rPr>
        <w:rFonts w:ascii="Arial" w:cs="Arial" w:eastAsia="Arial" w:hAnsi="Arial"/>
        <w:sz w:val="16"/>
        <w:szCs w:val="16"/>
      </w:rPr>
      <w:t xml:space="preserve">	</w:t>
    </w:r>
    <w:fldSimple w:instr="PAGE">
      <w:r>
        <w:rPr>
          <w:rFonts w:ascii="Arial" w:cs="Arial" w:eastAsia="Arial" w:hAnsi="Arial"/>
          <w:color w:val="5A5A58"/>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7" w:sz="4" w:space="4"/>
      </w:pBdr>
      <w:tabs>
        <w:tab w:val="right" w:pos="9026"/>
      </w:tabs>
      <w:spacing w:after="160"/>
    </w:pPr>
    <w:r>
      <w:rPr>
        <w:rFonts w:ascii="Arial" w:cs="Arial" w:eastAsia="Arial" w:hAnsi="Arial"/>
        <w:b/>
        <w:bCs/>
        <w:color w:val="1454E6"/>
        <w:sz w:val="16"/>
        <w:szCs w:val="16"/>
      </w:rPr>
      <w:t xml:space="preserve">PALLIS.AI</w:t>
    </w:r>
    <w:r>
      <w:rPr>
        <w:rFonts w:ascii="Arial" w:cs="Arial" w:eastAsia="Arial" w:hAnsi="Arial"/>
        <w:sz w:val="16"/>
        <w:szCs w:val="16"/>
      </w:rPr>
      <w:t xml:space="preserve">	</w:t>
    </w:r>
    <w:r>
      <w:rPr>
        <w:rFonts w:ascii="Arial" w:cs="Arial" w:eastAsia="Arial" w:hAnsi="Arial"/>
        <w:color w:val="5A5A58"/>
        <w:sz w:val="16"/>
        <w:szCs w:val="16"/>
      </w:rPr>
      <w:t xml:space="preserve">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lvl w:ilvl="1" w15:tentative="1">
      <w:start w:val="1"/>
      <w:numFmt w:val="bullet"/>
      <w:lvlText w:val="–"/>
      <w:lvlJc w:val="left"/>
      <w:pPr>
        <w:ind w:left="1080" w:hanging="36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D0D0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454E6" w:sz="6" w:space="4"/>
      </w:pBdr>
      <w:spacing w:after="160" w:before="360"/>
      <w:outlineLvl w:val="0"/>
    </w:pPr>
    <w:rPr>
      <w:rFonts w:ascii="Arial" w:cs="Arial" w:eastAsia="Arial" w:hAnsi="Arial"/>
      <w:b/>
      <w:bCs/>
      <w:color w:val="0D0D0B"/>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D0D0B"/>
      <w:sz w:val="26"/>
      <w:szCs w:val="26"/>
    </w:rPr>
  </w:style>
  <w:style w:type="paragraph" w:styleId="Heading3">
    <w:name w:val="Heading 3"/>
    <w:basedOn w:val="Normal"/>
    <w:next w:val="Normal"/>
    <w:qFormat/>
    <w:pPr>
      <w:spacing w:after="80" w:before="200"/>
      <w:outlineLvl w:val="2"/>
    </w:pPr>
    <w:rPr>
      <w:rFonts w:ascii="Arial" w:cs="Arial" w:eastAsia="Arial" w:hAnsi="Arial"/>
      <w:b/>
      <w:bCs/>
      <w:color w:val="5A5A5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2026-06-07T20:20:36.455Z</dcterms:created>
  <dcterms:modified xsi:type="dcterms:W3CDTF">2026-06-07T20:20:36.456Z</dcterms:modified>
</cp:coreProperties>
</file>

<file path=docProps/custom.xml><?xml version="1.0" encoding="utf-8"?>
<Properties xmlns="http://schemas.openxmlformats.org/officeDocument/2006/custom-properties" xmlns:vt="http://schemas.openxmlformats.org/officeDocument/2006/docPropsVTypes"/>
</file>