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ind w:right="-436.062992125984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-947737</wp:posOffset>
                </wp:positionH>
                <wp:positionV relativeFrom="paragraph">
                  <wp:posOffset>0</wp:posOffset>
                </wp:positionV>
                <wp:extent cx="7910513" cy="1576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118" y="3014825"/>
                          <a:ext cx="7771765" cy="1530350"/>
                        </a:xfrm>
                        <a:prstGeom prst="rect">
                          <a:avLst/>
                        </a:prstGeom>
                        <a:solidFill>
                          <a:srgbClr val="A2C4C9"/>
                        </a:solidFill>
                        <a:ln cap="flat" cmpd="sng" w="9525">
                          <a:solidFill>
                            <a:srgbClr val="D5914A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-947737</wp:posOffset>
                </wp:positionH>
                <wp:positionV relativeFrom="paragraph">
                  <wp:posOffset>0</wp:posOffset>
                </wp:positionV>
                <wp:extent cx="7910513" cy="1576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0513" cy="15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1865.0" w:type="dxa"/>
        <w:jc w:val="left"/>
        <w:tblInd w:w="-138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5280"/>
        <w:gridCol w:w="6090"/>
        <w:gridCol w:w="390"/>
        <w:tblGridChange w:id="0">
          <w:tblGrid>
            <w:gridCol w:w="105"/>
            <w:gridCol w:w="5280"/>
            <w:gridCol w:w="6090"/>
            <w:gridCol w:w="390"/>
          </w:tblGrid>
        </w:tblGridChange>
      </w:tblGrid>
      <w:tr>
        <w:trPr>
          <w:cantSplit w:val="0"/>
          <w:trHeight w:val="1052.27470703125" w:hRule="atLeast"/>
          <w:tblHeader w:val="0"/>
        </w:trPr>
        <w:tc>
          <w:tcPr>
            <w:gridSpan w:val="2"/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ffffff"/>
                <w:sz w:val="64"/>
                <w:szCs w:val="64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الاسم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واللقب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Playfair Display" w:cs="Playfair Display" w:eastAsia="Playfair Display" w:hAnsi="Playfair Display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ffffff"/>
                <w:sz w:val="40"/>
                <w:szCs w:val="40"/>
                <w:rtl w:val="1"/>
              </w:rPr>
              <w:t xml:space="preserve">بائع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ffffff"/>
                <w:sz w:val="40"/>
                <w:szCs w:val="40"/>
                <w:rtl w:val="1"/>
              </w:rPr>
              <w:t xml:space="preserve">سيارات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+966 00 000 0000</w:t>
            </w:r>
          </w:p>
          <w:p w:rsidR="00000000" w:rsidDel="00000000" w:rsidP="00000000" w:rsidRDefault="00000000" w:rsidRPr="00000000" w14:paraId="00000007">
            <w:pPr>
              <w:ind w:right="1024.9606299212605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Riyadh, Saudi Arabia</w:t>
            </w:r>
          </w:p>
          <w:p w:rsidR="00000000" w:rsidDel="00000000" w:rsidP="00000000" w:rsidRDefault="00000000" w:rsidRPr="00000000" w14:paraId="00000008">
            <w:pPr>
              <w:ind w:right="1024.9606299212605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your.name@email.com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linkedin.com/in/username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8.027343750000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ind w:left="425.19685039370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بائع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سيارات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محترف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يمتلك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خبرة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وخدمة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أسعى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توظيف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مهاراتي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التفاوض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والإقناع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لتحقيق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أعلى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نسب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مبيعات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تجربة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مميزة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أطمح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مسيرتي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وكالة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سيارات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رائدة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العلامة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وزيادة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2c4c9" w:val="clear"/>
            <w:vAlign w:val="center"/>
          </w:tcPr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bidi w:val="1"/>
              <w:spacing w:before="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30"/>
                <w:szCs w:val="30"/>
              </w:rPr>
            </w:pPr>
            <w:bookmarkStart w:colFirst="0" w:colLast="0" w:name="_i88np6k02nxc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1"/>
              </w:rPr>
              <w:t xml:space="preserve">الخبرات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1.99218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bidi w:val="1"/>
              <w:spacing w:after="240" w:before="240" w:lineRule="auto"/>
              <w:ind w:left="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بائع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سيارات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شركة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تويوتا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البداية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الآن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bidi w:val="1"/>
              <w:spacing w:after="0" w:afterAutospacing="0" w:before="24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استقبال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والتعرف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احتياجاتهم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واقتراح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الطرازات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bidi w:val="1"/>
              <w:spacing w:after="0" w:afterAutospacing="0" w:before="0" w:beforeAutospacing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زيادة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بنسبة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30%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عامين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bidi w:val="1"/>
              <w:spacing w:after="240" w:before="0" w:beforeAutospacing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عروض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تجارب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قيادة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ميدانية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240" w:befor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مندوب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مبيعات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سيارات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–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الشركة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]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البداية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النهاية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bidi w:val="1"/>
              <w:spacing w:after="0" w:before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الترويج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للموديلات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الجديدة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وإقناع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بمميزات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المتاحة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bidi w:val="1"/>
              <w:spacing w:after="0" w:before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البيعية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الشهرية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بيع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متطورة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bidi w:val="1"/>
              <w:spacing w:after="0" w:before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طلبات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البيع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رضاهم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23">
            <w:pPr>
              <w:bidi w:val="1"/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bidi w:val="1"/>
              <w:spacing w:after="80" w:line="259" w:lineRule="auto"/>
              <w:ind w:left="0" w:right="567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bidi w:val="1"/>
              <w:spacing w:after="80" w:line="259" w:lineRule="auto"/>
              <w:ind w:left="720" w:right="567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الإقناع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والتفاوض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bidi w:val="1"/>
              <w:spacing w:after="80" w:line="259" w:lineRule="auto"/>
              <w:ind w:left="720" w:right="567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خبرة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أنظمة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البيع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والتقسيط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bidi w:val="1"/>
              <w:spacing w:after="80" w:line="259" w:lineRule="auto"/>
              <w:ind w:left="720" w:right="567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علاقات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قوية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bidi w:val="1"/>
              <w:spacing w:after="80" w:line="259" w:lineRule="auto"/>
              <w:ind w:left="720" w:right="567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البيعية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bidi w:val="1"/>
              <w:spacing w:after="80" w:line="259" w:lineRule="auto"/>
              <w:ind w:left="720" w:right="567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الحملات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الترويجية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bidi w:val="1"/>
              <w:spacing w:after="80" w:line="259" w:lineRule="auto"/>
              <w:ind w:left="720" w:right="56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bidi w:val="1"/>
              <w:spacing w:after="80" w:line="259" w:lineRule="auto"/>
              <w:ind w:left="0" w:right="56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2c4c9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276" w:lineRule="auto"/>
              <w:ind w:left="57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التعليم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bidi w:val="1"/>
              <w:spacing w:after="200" w:befor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– 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الجامعة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التخرج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2c4c9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line="276" w:lineRule="auto"/>
              <w:ind w:left="57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الدورات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والشهادات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المهنية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bidi w:val="1"/>
              <w:spacing w:after="0" w:afterAutospacing="0" w:before="24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التفاوض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والإقناع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– 2020.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bidi w:val="1"/>
              <w:spacing w:after="240" w:before="0" w:beforeAutospacing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ورشة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خدمة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– 2021.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shd w:fill="a2c4c9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141.7322834645671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اللغات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  <w:shd w:fill="ffffff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-566.9291338582684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-566.9291338582684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الإنجليزية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متقدم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3.46456692913387" w:top="0" w:left="1440.000000000000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