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Accounting Specialist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Accounting Specialist</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1755"/>
        <w:gridCol w:w="3466.125"/>
        <w:gridCol w:w="4138.875"/>
        <w:tblGridChange w:id="0">
          <w:tblGrid>
            <w:gridCol w:w="1755"/>
            <w:gridCol w:w="3466.125"/>
            <w:gridCol w:w="4138.875"/>
          </w:tblGrid>
        </w:tblGridChange>
      </w:tblGrid>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3">
            <w:pPr>
              <w:spacing w:after="240" w:before="240" w:lineRule="auto"/>
              <w:jc w:val="center"/>
              <w:rPr>
                <w:b w:val="1"/>
                <w:bCs w:val="1"/>
                <w:i w:val="1"/>
                <w:iCs w:val="1"/>
              </w:rPr>
            </w:pPr>
            <w:r w:rsidDel="00000000" w:rsidR="00000000" w:rsidRPr="00000000">
              <w:rPr>
                <w:b w:val="1"/>
                <w:bCs w:val="1"/>
                <w:i w:val="1"/>
                <w:iCs w:val="1"/>
                <w:rtl w:val="0"/>
              </w:rPr>
              <w:t xml:space="preserve">KPI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jc w:val="center"/>
              <w:rPr>
                <w:b w:val="1"/>
                <w:bCs w:val="1"/>
                <w:i w:val="1"/>
                <w:iCs w:val="1"/>
              </w:rPr>
            </w:pPr>
            <w:r w:rsidDel="00000000" w:rsidR="00000000" w:rsidRPr="00000000">
              <w:rPr>
                <w:b w:val="1"/>
                <w:bCs w:val="1"/>
                <w:i w:val="1"/>
                <w:i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jc w:val="center"/>
              <w:rPr>
                <w:b w:val="1"/>
                <w:bCs w:val="1"/>
                <w:i w:val="1"/>
                <w:iCs w:val="1"/>
              </w:rPr>
            </w:pPr>
            <w:r w:rsidDel="00000000" w:rsidR="00000000" w:rsidRPr="00000000">
              <w:rPr>
                <w:b w:val="1"/>
                <w:bCs w:val="1"/>
                <w:i w:val="1"/>
                <w:iCs w:val="1"/>
                <w:rtl w:val="0"/>
              </w:rPr>
              <w:t xml:space="preserve">Formula</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rPr/>
            </w:pPr>
            <w:r w:rsidDel="00000000" w:rsidR="00000000" w:rsidRPr="00000000">
              <w:rPr>
                <w:rtl w:val="0"/>
              </w:rPr>
              <w:t xml:space="preserve">Accounts Payable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accuracy of recording and processing accounts payable transactions.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(Total Number of Accurate Accounts Payable Transactions) / (Total Number of Accounts Payable Transactions)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Accounts Receivable Turnover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This KPI assesses the effectiveness of collecting outstanding receivables.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Net Credit Sales / Average Accounts Receivable</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General Ledger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This KPI evaluates the accuracy of recording financial transactions in the general ledger.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(Total Number of Accurate General Ledger Entries) / (Total Number of General Ledger Entries)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Financial Reporting Timeliness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This KPI measures the timeliness of preparing and delivering financial reports.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Number of Financial Reports Delivered On Time / Total Number of Financial Reports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Budget Variance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This KPI assesses the variance between actual expenses and budgeted expenses.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(Actual Expenses - Budgeted Expenses) / Budgeted Expenses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Cash Flow Forecast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This KPI measures the accuracy of cash flow forecasts compared to actual cash flow.</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(Actual Cash Flow - Forecasted Cash Flow) / Forecasted Cash Flow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Month-End Closing Efficiency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This KPI evaluates the efficiency of completing month-end closing procedures.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(Number of On-Time Month-End Closings) / (Total Number of Month-End Closings)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Audit Compliance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This KPI assesses the level of compliance with internal and external audit requirements.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(Number of Audit Findings Addressed) / (Total Number of Audit Findings)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Document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This KPI measures the accuracy of maintaining financial records and documentation.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(Number of Accurate Documents) / (Total Number of Documents)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Regulatory Compliance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This KPI assesses the level of compliance with accounting regulations and best practices.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(Number of Compliance Violations) / (Total Number of Compliance Requirements) x 100%</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