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1E58C" w14:textId="77777777" w:rsidR="00375CF6" w:rsidRDefault="00375CF6" w:rsidP="00375CF6">
      <w:pPr>
        <w:jc w:val="center"/>
        <w:rPr>
          <w:rFonts w:asciiTheme="majorBidi" w:hAnsiTheme="majorBidi" w:cstheme="majorBidi"/>
          <w:b/>
          <w:bCs/>
          <w:sz w:val="44"/>
          <w:szCs w:val="44"/>
          <w:rtl/>
          <w:lang w:bidi="ar-EG"/>
        </w:rPr>
      </w:pPr>
      <w:bookmarkStart w:id="0" w:name="_Hlk192827651"/>
    </w:p>
    <w:p w14:paraId="13201057" w14:textId="77777777" w:rsidR="00375CF6" w:rsidRDefault="00375CF6" w:rsidP="00375CF6">
      <w:pPr>
        <w:jc w:val="center"/>
        <w:rPr>
          <w:rFonts w:asciiTheme="majorBidi" w:hAnsiTheme="majorBidi" w:cstheme="majorBidi"/>
          <w:b/>
          <w:bCs/>
          <w:sz w:val="44"/>
          <w:szCs w:val="44"/>
          <w:rtl/>
        </w:rPr>
      </w:pPr>
    </w:p>
    <w:p w14:paraId="501FA356" w14:textId="77777777" w:rsidR="00375CF6" w:rsidRPr="006B18B5" w:rsidRDefault="00375CF6" w:rsidP="00375CF6">
      <w:pPr>
        <w:jc w:val="center"/>
        <w:rPr>
          <w:rFonts w:asciiTheme="majorBidi" w:hAnsiTheme="majorBidi" w:cstheme="majorBidi"/>
          <w:b/>
          <w:bCs/>
          <w:sz w:val="44"/>
          <w:szCs w:val="44"/>
          <w:rtl/>
        </w:rPr>
      </w:pPr>
      <w:r w:rsidRPr="006B18B5">
        <w:rPr>
          <w:rFonts w:asciiTheme="majorBidi" w:hAnsiTheme="majorBidi" w:cstheme="majorBidi"/>
          <w:b/>
          <w:bCs/>
          <w:sz w:val="44"/>
          <w:szCs w:val="44"/>
          <w:rtl/>
        </w:rPr>
        <w:t>بحث عن</w:t>
      </w:r>
    </w:p>
    <w:p w14:paraId="68C9E9E4" w14:textId="18958941" w:rsidR="00375CF6" w:rsidRDefault="00375CF6" w:rsidP="00375CF6">
      <w:pPr>
        <w:jc w:val="center"/>
        <w:rPr>
          <w:rFonts w:asciiTheme="majorBidi" w:hAnsiTheme="majorBidi" w:cstheme="majorBidi"/>
          <w:b/>
          <w:bCs/>
          <w:sz w:val="44"/>
          <w:szCs w:val="44"/>
          <w:rtl/>
        </w:rPr>
      </w:pPr>
      <w:r>
        <w:rPr>
          <w:rFonts w:asciiTheme="majorBidi" w:hAnsiTheme="majorBidi" w:cs="Times New Roman" w:hint="cs"/>
          <w:b/>
          <w:bCs/>
          <w:sz w:val="44"/>
          <w:szCs w:val="44"/>
          <w:rtl/>
        </w:rPr>
        <w:t>المتحف المصري القديم</w:t>
      </w:r>
    </w:p>
    <w:p w14:paraId="251EACE4" w14:textId="77777777" w:rsidR="00375CF6" w:rsidRDefault="00375CF6" w:rsidP="00375CF6">
      <w:pPr>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المادة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24DB713C" w14:textId="77777777" w:rsidR="00375CF6" w:rsidRPr="006B18B5" w:rsidRDefault="00375CF6" w:rsidP="00375CF6">
      <w:pPr>
        <w:jc w:val="center"/>
        <w:rPr>
          <w:rFonts w:asciiTheme="majorBidi" w:hAnsiTheme="majorBidi" w:cstheme="majorBidi"/>
          <w:b/>
          <w:bCs/>
          <w:sz w:val="44"/>
          <w:szCs w:val="44"/>
          <w:rtl/>
        </w:rPr>
      </w:pPr>
    </w:p>
    <w:p w14:paraId="1193CC70" w14:textId="77777777" w:rsidR="00375CF6" w:rsidRDefault="00375CF6" w:rsidP="00375CF6">
      <w:pPr>
        <w:rPr>
          <w:rFonts w:asciiTheme="majorBidi" w:hAnsiTheme="majorBidi" w:cstheme="majorBidi"/>
          <w:b/>
          <w:bCs/>
          <w:sz w:val="44"/>
          <w:szCs w:val="44"/>
          <w:rtl/>
        </w:rPr>
      </w:pPr>
      <w:r w:rsidRPr="006B18B5">
        <w:rPr>
          <w:rFonts w:asciiTheme="majorBidi" w:hAnsiTheme="majorBidi" w:cstheme="majorBidi"/>
          <w:b/>
          <w:bCs/>
          <w:noProof/>
          <w:sz w:val="44"/>
          <w:szCs w:val="44"/>
        </w:rPr>
        <w:drawing>
          <wp:anchor distT="0" distB="0" distL="114300" distR="114300" simplePos="0" relativeHeight="251659264" behindDoc="0" locked="0" layoutInCell="1" allowOverlap="1" wp14:anchorId="63DC076E" wp14:editId="33624CD2">
            <wp:simplePos x="0" y="0"/>
            <wp:positionH relativeFrom="margin">
              <wp:align>center</wp:align>
            </wp:positionH>
            <wp:positionV relativeFrom="paragraph">
              <wp:posOffset>314503</wp:posOffset>
            </wp:positionV>
            <wp:extent cx="4071733" cy="2290350"/>
            <wp:effectExtent l="171450" t="152400" r="157480" b="167640"/>
            <wp:wrapNone/>
            <wp:docPr id="10409649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64925" name="صورة 2"/>
                    <pic:cNvPicPr>
                      <a:picLocks noChangeAspect="1" noChangeArrowheads="1"/>
                    </pic:cNvPicPr>
                  </pic:nvPicPr>
                  <pic:blipFill>
                    <a:blip r:embed="rId5">
                      <a:extLst>
                        <a:ext uri="{28A0092B-C50C-407E-A947-70E740481C1C}">
                          <a14:useLocalDpi xmlns:a14="http://schemas.microsoft.com/office/drawing/2010/main" val="0"/>
                        </a:ext>
                      </a:extLst>
                    </a:blip>
                    <a:srcRect t="7812" b="7812"/>
                    <a:stretch>
                      <a:fillRect/>
                    </a:stretch>
                  </pic:blipFill>
                  <pic:spPr bwMode="auto">
                    <a:xfrm>
                      <a:off x="0" y="0"/>
                      <a:ext cx="4071733" cy="22903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B18B5">
        <w:rPr>
          <w:rFonts w:asciiTheme="majorBidi" w:hAnsiTheme="majorBidi" w:cstheme="majorBidi"/>
          <w:b/>
          <w:bCs/>
          <w:sz w:val="44"/>
          <w:szCs w:val="44"/>
        </w:rPr>
        <w:tab/>
      </w:r>
      <w:r w:rsidRPr="006B18B5">
        <w:rPr>
          <w:rFonts w:asciiTheme="majorBidi" w:hAnsiTheme="majorBidi" w:cstheme="majorBidi"/>
          <w:b/>
          <w:bCs/>
          <w:sz w:val="44"/>
          <w:szCs w:val="44"/>
        </w:rPr>
        <w:tab/>
      </w:r>
    </w:p>
    <w:p w14:paraId="6E169CA8" w14:textId="77777777" w:rsidR="00375CF6" w:rsidRPr="006B18B5" w:rsidRDefault="00375CF6" w:rsidP="00375CF6">
      <w:pPr>
        <w:rPr>
          <w:rFonts w:asciiTheme="majorBidi" w:hAnsiTheme="majorBidi" w:cstheme="majorBidi"/>
          <w:b/>
          <w:bCs/>
          <w:sz w:val="44"/>
          <w:szCs w:val="44"/>
          <w:rtl/>
        </w:rPr>
      </w:pPr>
    </w:p>
    <w:p w14:paraId="7484CD2B" w14:textId="77777777" w:rsidR="00375CF6" w:rsidRPr="006B18B5" w:rsidRDefault="00375CF6" w:rsidP="00375CF6">
      <w:pPr>
        <w:rPr>
          <w:rFonts w:asciiTheme="majorBidi" w:hAnsiTheme="majorBidi" w:cstheme="majorBidi"/>
          <w:b/>
          <w:bCs/>
          <w:sz w:val="44"/>
          <w:szCs w:val="44"/>
          <w:rtl/>
        </w:rPr>
      </w:pPr>
    </w:p>
    <w:p w14:paraId="25BFD971" w14:textId="77777777" w:rsidR="00375CF6" w:rsidRPr="006B18B5" w:rsidRDefault="00375CF6" w:rsidP="00375CF6">
      <w:pPr>
        <w:rPr>
          <w:rFonts w:asciiTheme="majorBidi" w:hAnsiTheme="majorBidi" w:cstheme="majorBidi"/>
          <w:b/>
          <w:bCs/>
          <w:sz w:val="44"/>
          <w:szCs w:val="44"/>
          <w:rtl/>
        </w:rPr>
      </w:pPr>
    </w:p>
    <w:p w14:paraId="4C059067" w14:textId="77777777" w:rsidR="00375CF6" w:rsidRPr="006B18B5" w:rsidRDefault="00375CF6" w:rsidP="00375CF6">
      <w:pPr>
        <w:rPr>
          <w:rFonts w:asciiTheme="majorBidi" w:hAnsiTheme="majorBidi" w:cstheme="majorBidi"/>
          <w:b/>
          <w:bCs/>
          <w:sz w:val="44"/>
          <w:szCs w:val="44"/>
          <w:rtl/>
        </w:rPr>
      </w:pPr>
    </w:p>
    <w:p w14:paraId="0C819CC8" w14:textId="77777777" w:rsidR="00375CF6" w:rsidRPr="006B18B5" w:rsidRDefault="00375CF6" w:rsidP="00375CF6">
      <w:pPr>
        <w:rPr>
          <w:rFonts w:asciiTheme="majorBidi" w:hAnsiTheme="majorBidi" w:cstheme="majorBidi"/>
          <w:b/>
          <w:bCs/>
          <w:sz w:val="44"/>
          <w:szCs w:val="44"/>
          <w:rtl/>
          <w:lang w:bidi="ar-EG"/>
        </w:rPr>
      </w:pPr>
    </w:p>
    <w:p w14:paraId="63686491" w14:textId="77777777" w:rsidR="00375CF6" w:rsidRPr="006B18B5" w:rsidRDefault="00375CF6" w:rsidP="00375CF6">
      <w:pPr>
        <w:rPr>
          <w:rFonts w:asciiTheme="majorBidi" w:hAnsiTheme="majorBidi" w:cstheme="majorBidi"/>
          <w:b/>
          <w:bCs/>
          <w:sz w:val="44"/>
          <w:szCs w:val="44"/>
          <w:rtl/>
        </w:rPr>
      </w:pPr>
    </w:p>
    <w:p w14:paraId="36E70C8E" w14:textId="77777777" w:rsidR="00375CF6" w:rsidRDefault="00375CF6" w:rsidP="00375CF6">
      <w:pPr>
        <w:spacing w:line="360" w:lineRule="auto"/>
        <w:jc w:val="center"/>
        <w:rPr>
          <w:rFonts w:asciiTheme="majorBidi" w:hAnsiTheme="majorBidi" w:cstheme="majorBidi"/>
          <w:b/>
          <w:bCs/>
          <w:sz w:val="44"/>
          <w:szCs w:val="44"/>
          <w:rtl/>
        </w:rPr>
      </w:pPr>
    </w:p>
    <w:p w14:paraId="58D9836B" w14:textId="77777777" w:rsidR="00375CF6" w:rsidRPr="006B18B5" w:rsidRDefault="00375CF6" w:rsidP="00375CF6">
      <w:pPr>
        <w:spacing w:line="360" w:lineRule="auto"/>
        <w:jc w:val="center"/>
        <w:rPr>
          <w:rFonts w:asciiTheme="majorBidi" w:hAnsiTheme="majorBidi" w:cstheme="majorBidi"/>
          <w:b/>
          <w:bCs/>
          <w:sz w:val="44"/>
          <w:szCs w:val="44"/>
          <w:rtl/>
        </w:rPr>
      </w:pPr>
      <w:r w:rsidRPr="006B18B5">
        <w:rPr>
          <w:rFonts w:asciiTheme="majorBidi" w:hAnsiTheme="majorBidi" w:cstheme="majorBidi"/>
          <w:b/>
          <w:bCs/>
          <w:sz w:val="44"/>
          <w:szCs w:val="44"/>
          <w:rtl/>
        </w:rPr>
        <w:t>عمل الطالب</w:t>
      </w:r>
    </w:p>
    <w:p w14:paraId="2B9385ED" w14:textId="77777777" w:rsidR="00375CF6" w:rsidRDefault="00375CF6" w:rsidP="00375CF6">
      <w:pPr>
        <w:spacing w:line="480" w:lineRule="auto"/>
        <w:jc w:val="center"/>
        <w:rPr>
          <w:rFonts w:asciiTheme="majorBidi" w:hAnsiTheme="majorBidi" w:cstheme="majorBidi"/>
          <w:b/>
          <w:bCs/>
          <w:sz w:val="44"/>
          <w:szCs w:val="44"/>
          <w:rtl/>
        </w:rPr>
      </w:pPr>
      <w:r w:rsidRPr="0003463D">
        <w:rPr>
          <w:rFonts w:ascii="Noto Sans Kufi Arabic" w:eastAsia="Times New Roman" w:hAnsi="Noto Sans Kufi Arabic" w:cs="Times New Roman" w:hint="cs"/>
          <w:color w:val="000000"/>
          <w:sz w:val="26"/>
          <w:szCs w:val="24"/>
          <w:rtl/>
        </w:rPr>
        <w:t>.........................................</w:t>
      </w:r>
      <w:r>
        <w:rPr>
          <w:rFonts w:ascii="Noto Sans Kufi Arabic" w:eastAsia="Times New Roman" w:hAnsi="Noto Sans Kufi Arabic" w:cs="Times New Roman" w:hint="cs"/>
          <w:color w:val="000000"/>
          <w:sz w:val="26"/>
          <w:szCs w:val="24"/>
          <w:rtl/>
        </w:rPr>
        <w:t>...</w:t>
      </w:r>
      <w:r w:rsidRPr="0003463D">
        <w:rPr>
          <w:rFonts w:ascii="Noto Sans Kufi Arabic" w:eastAsia="Times New Roman" w:hAnsi="Noto Sans Kufi Arabic" w:cs="Times New Roman" w:hint="cs"/>
          <w:color w:val="000000"/>
          <w:sz w:val="26"/>
          <w:szCs w:val="24"/>
          <w:rtl/>
        </w:rPr>
        <w:t>.............................................</w:t>
      </w:r>
    </w:p>
    <w:p w14:paraId="558597B5" w14:textId="77777777" w:rsidR="00375CF6" w:rsidRDefault="00375CF6" w:rsidP="00375CF6">
      <w:pPr>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الصف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0119E6F4" w14:textId="77777777" w:rsidR="00375CF6" w:rsidRDefault="00375CF6" w:rsidP="00375CF6">
      <w:pPr>
        <w:rPr>
          <w:rFonts w:asciiTheme="majorBidi" w:hAnsiTheme="majorBidi" w:cstheme="majorBidi"/>
          <w:b/>
          <w:bCs/>
          <w:sz w:val="44"/>
          <w:szCs w:val="44"/>
          <w:rtl/>
        </w:rPr>
      </w:pPr>
    </w:p>
    <w:p w14:paraId="59BDDD34" w14:textId="77777777" w:rsidR="00375CF6" w:rsidRDefault="00375CF6" w:rsidP="00375CF6">
      <w:pPr>
        <w:rPr>
          <w:rFonts w:asciiTheme="majorBidi" w:hAnsiTheme="majorBidi" w:cstheme="majorBidi"/>
          <w:b/>
          <w:bCs/>
          <w:sz w:val="44"/>
          <w:szCs w:val="44"/>
          <w:rtl/>
        </w:rPr>
      </w:pPr>
    </w:p>
    <w:bookmarkEnd w:id="0"/>
    <w:p w14:paraId="5D6B4ABA" w14:textId="77777777" w:rsidR="00375CF6" w:rsidRPr="00375CF6" w:rsidRDefault="00375CF6" w:rsidP="00375CF6">
      <w:pPr>
        <w:shd w:val="clear" w:color="auto" w:fill="F2F2F2" w:themeFill="background1" w:themeFillShade="F2"/>
        <w:spacing w:line="240" w:lineRule="auto"/>
        <w:jc w:val="center"/>
        <w:rPr>
          <w:b/>
          <w:bCs/>
          <w:sz w:val="40"/>
          <w:szCs w:val="40"/>
        </w:rPr>
      </w:pPr>
      <w:r w:rsidRPr="00375CF6">
        <w:rPr>
          <w:b/>
          <w:bCs/>
          <w:sz w:val="40"/>
          <w:szCs w:val="40"/>
          <w:rtl/>
        </w:rPr>
        <w:lastRenderedPageBreak/>
        <w:t>المقدمة</w:t>
      </w:r>
    </w:p>
    <w:p w14:paraId="781EB22F" w14:textId="77777777" w:rsidR="00375CF6" w:rsidRPr="00375CF6" w:rsidRDefault="00375CF6" w:rsidP="00375CF6">
      <w:pPr>
        <w:spacing w:line="276" w:lineRule="auto"/>
        <w:jc w:val="both"/>
        <w:rPr>
          <w:sz w:val="32"/>
          <w:szCs w:val="32"/>
        </w:rPr>
      </w:pPr>
      <w:r w:rsidRPr="00375CF6">
        <w:rPr>
          <w:sz w:val="32"/>
          <w:szCs w:val="32"/>
          <w:rtl/>
        </w:rPr>
        <w:t>عندما نتأمل تاريخ الحضارات الإنسانية، يبقى سؤال واحد حاضرًا بقوة: كيف استطاعت حضارة ما أن تترك أثرًا خالدًا يتجاوز الزمن، ويستمر في تشكيل الوعي الإنساني عبر آلاف السنين؟ في قلب القاهرة، وعلى مقربة من ميدان التحرير، يقف المتحف المصري كأنه ذاكرة حجرية شاهدة على واحدة من أعظم التجارب البشرية في التاريخ. إنه ليس مجرد مبنى، وليس مجرد مخزن للآثار، بل هو سجل مفتوح لعصرٍ طويل شهد فيه الإنسان المصري القديم تطور الفكر والمعمار والدين والسياسة والفن، بعمق يصعب على أي حضارة أخرى مجاراته</w:t>
      </w:r>
      <w:r w:rsidRPr="00375CF6">
        <w:rPr>
          <w:sz w:val="32"/>
          <w:szCs w:val="32"/>
        </w:rPr>
        <w:t>.</w:t>
      </w:r>
      <w:r w:rsidRPr="00375CF6">
        <w:rPr>
          <w:sz w:val="32"/>
          <w:szCs w:val="32"/>
        </w:rPr>
        <w:br/>
      </w:r>
      <w:r w:rsidRPr="00375CF6">
        <w:rPr>
          <w:sz w:val="32"/>
          <w:szCs w:val="32"/>
          <w:rtl/>
        </w:rPr>
        <w:t>يُعد المتحف المصري واحدًا من أهم المتاحف الأثرية في العالم، فمنذ افتتاحه عام 1902 وهو يحتفظ بأكبر وأغنى مجموعة من الآثار المصرية القديمة. آلاف القطع المتنوعة من تماثيل وأقنعة ومومياوات وأدوات حياة يومية ونقوش مذهلة، كلها تحكي قصة تطور الإنسان المصري عبر آلاف السنين. ويمثل المتحف، بمبناه الكلاسيكي وقاعاته الواسعة وتصميمه الفريد، جسرًا يصل الزائر بالماضي البعيد، ويمنحه فرصة نادرة للاقتراب من ملوك وملكات ومجتمعات اندثرت، لكن آثارها بقيت لتكشف أسرارها تدريجيًا</w:t>
      </w:r>
      <w:r w:rsidRPr="00375CF6">
        <w:rPr>
          <w:sz w:val="32"/>
          <w:szCs w:val="32"/>
        </w:rPr>
        <w:t>.</w:t>
      </w:r>
    </w:p>
    <w:p w14:paraId="4CA6B580" w14:textId="77777777" w:rsidR="00375CF6" w:rsidRPr="00375CF6" w:rsidRDefault="00375CF6" w:rsidP="00375CF6">
      <w:pPr>
        <w:spacing w:line="276" w:lineRule="auto"/>
        <w:jc w:val="both"/>
        <w:rPr>
          <w:sz w:val="32"/>
          <w:szCs w:val="32"/>
        </w:rPr>
      </w:pPr>
      <w:r w:rsidRPr="00375CF6">
        <w:rPr>
          <w:sz w:val="32"/>
          <w:szCs w:val="32"/>
        </w:rPr>
        <w:pict w14:anchorId="32985455">
          <v:rect id="_x0000_i1259" style="width:0;height:1.5pt" o:hralign="center" o:hrstd="t" o:hr="t" fillcolor="#a0a0a0" stroked="f"/>
        </w:pict>
      </w:r>
    </w:p>
    <w:p w14:paraId="328DD63A" w14:textId="66C9554F" w:rsidR="00375CF6" w:rsidRPr="00375CF6" w:rsidRDefault="00375CF6" w:rsidP="00375CF6">
      <w:pPr>
        <w:shd w:val="clear" w:color="auto" w:fill="F2F2F2" w:themeFill="background1" w:themeFillShade="F2"/>
        <w:spacing w:line="240" w:lineRule="auto"/>
        <w:jc w:val="center"/>
        <w:rPr>
          <w:b/>
          <w:bCs/>
          <w:sz w:val="40"/>
          <w:szCs w:val="40"/>
        </w:rPr>
      </w:pPr>
      <w:r w:rsidRPr="00375CF6">
        <w:rPr>
          <w:b/>
          <w:bCs/>
          <w:sz w:val="40"/>
          <w:szCs w:val="40"/>
          <w:rtl/>
        </w:rPr>
        <w:t>نشأة المتحف المصري وتاريخ تأسيسه</w:t>
      </w:r>
    </w:p>
    <w:p w14:paraId="06604A09" w14:textId="77777777" w:rsidR="00375CF6" w:rsidRPr="00375CF6" w:rsidRDefault="00375CF6" w:rsidP="00375CF6">
      <w:pPr>
        <w:spacing w:line="276" w:lineRule="auto"/>
        <w:jc w:val="both"/>
        <w:rPr>
          <w:sz w:val="32"/>
          <w:szCs w:val="32"/>
        </w:rPr>
      </w:pPr>
      <w:r w:rsidRPr="00375CF6">
        <w:rPr>
          <w:sz w:val="32"/>
          <w:szCs w:val="32"/>
          <w:rtl/>
        </w:rPr>
        <w:t xml:space="preserve">تعود جذور فكرة إنشاء المتحف المصري إلى القرن التاسع عشر، بالتحديد مع بدايات اهتمام العالم الأوروبي بالآثار المصرية بعد حملة نابليون. كان حجم الاكتشافات الأثرية المتزايد يدفع الباحثين والمستكشفين للمطالبة بمكان يحفظ هذه الكنوز داخل مصر بدلًا من خروجها إلى المتاحف الأجنبية. وقد تبنى الوالي محمد علي باشا، ومن بعده الخديوي إسماعيل، فكرة حماية التراث المصري. لكن الانطلاقة الحقيقية جاءت في عهد الخديوي عباس حلمي الثاني، عندما تم الإعلان عن مسابقة عالمية لتصميم مبنى المتحف الجديد، وفاز بها المعماري الفرنسي "مارسيل </w:t>
      </w:r>
      <w:proofErr w:type="spellStart"/>
      <w:r w:rsidRPr="00375CF6">
        <w:rPr>
          <w:sz w:val="32"/>
          <w:szCs w:val="32"/>
          <w:rtl/>
        </w:rPr>
        <w:t>دورنيون</w:t>
      </w:r>
      <w:proofErr w:type="spellEnd"/>
      <w:r w:rsidRPr="00375CF6">
        <w:rPr>
          <w:sz w:val="32"/>
          <w:szCs w:val="32"/>
          <w:rtl/>
        </w:rPr>
        <w:t>"، لتبدأ بعدها مراحل البناء التي انتهت عام 1902</w:t>
      </w:r>
      <w:r w:rsidRPr="00375CF6">
        <w:rPr>
          <w:sz w:val="32"/>
          <w:szCs w:val="32"/>
        </w:rPr>
        <w:t>.</w:t>
      </w:r>
    </w:p>
    <w:p w14:paraId="37050261" w14:textId="77777777" w:rsidR="00375CF6" w:rsidRPr="00375CF6" w:rsidRDefault="00375CF6" w:rsidP="00375CF6">
      <w:pPr>
        <w:spacing w:line="276" w:lineRule="auto"/>
        <w:jc w:val="both"/>
        <w:rPr>
          <w:sz w:val="32"/>
          <w:szCs w:val="32"/>
        </w:rPr>
      </w:pPr>
      <w:r w:rsidRPr="00375CF6">
        <w:rPr>
          <w:sz w:val="32"/>
          <w:szCs w:val="32"/>
          <w:rtl/>
        </w:rPr>
        <w:t>ما يميز هذا المتحف أنه لم يكن مجرد رد فعل لنهب الآثار في الخارج، بل كان خطوة واعية لبناء مؤسسة علمية متكاملة تعنى بالبحث والاهتمام والفهرسة، إضافة إلى العرض المتحفي. ومع مرور السنين أصبح المتحف مركزًا أساسيًا لعشرات البعثات الأثرية، ومختبرًا متقدمًا لعمليات الترميم والحفظ، مما جعله واحدًا من أعمدة علم المصريات الحديثة</w:t>
      </w:r>
      <w:r w:rsidRPr="00375CF6">
        <w:rPr>
          <w:sz w:val="32"/>
          <w:szCs w:val="32"/>
        </w:rPr>
        <w:t>.</w:t>
      </w:r>
    </w:p>
    <w:p w14:paraId="5639052D" w14:textId="77777777" w:rsidR="00375CF6" w:rsidRDefault="00375CF6" w:rsidP="00375CF6">
      <w:pPr>
        <w:spacing w:line="276" w:lineRule="auto"/>
        <w:jc w:val="both"/>
        <w:rPr>
          <w:sz w:val="32"/>
          <w:szCs w:val="32"/>
          <w:rtl/>
        </w:rPr>
      </w:pPr>
      <w:r w:rsidRPr="00375CF6">
        <w:rPr>
          <w:sz w:val="32"/>
          <w:szCs w:val="32"/>
        </w:rPr>
        <w:pict w14:anchorId="18E80E5C">
          <v:rect id="_x0000_i1260" style="width:0;height:1.5pt" o:hralign="center" o:hrstd="t" o:hr="t" fillcolor="#a0a0a0" stroked="f"/>
        </w:pict>
      </w:r>
    </w:p>
    <w:p w14:paraId="634CE76D" w14:textId="77777777" w:rsidR="00375CF6" w:rsidRDefault="00375CF6" w:rsidP="00375CF6">
      <w:pPr>
        <w:spacing w:line="276" w:lineRule="auto"/>
        <w:jc w:val="both"/>
        <w:rPr>
          <w:sz w:val="32"/>
          <w:szCs w:val="32"/>
          <w:rtl/>
        </w:rPr>
      </w:pPr>
    </w:p>
    <w:p w14:paraId="660A6DE5" w14:textId="77777777" w:rsidR="00375CF6" w:rsidRPr="00375CF6" w:rsidRDefault="00375CF6" w:rsidP="00375CF6">
      <w:pPr>
        <w:spacing w:line="276" w:lineRule="auto"/>
        <w:jc w:val="both"/>
        <w:rPr>
          <w:sz w:val="32"/>
          <w:szCs w:val="32"/>
        </w:rPr>
      </w:pPr>
    </w:p>
    <w:p w14:paraId="64886331" w14:textId="3926C801" w:rsidR="00375CF6" w:rsidRPr="00375CF6" w:rsidRDefault="00375CF6" w:rsidP="00375CF6">
      <w:pPr>
        <w:shd w:val="clear" w:color="auto" w:fill="F2F2F2" w:themeFill="background1" w:themeFillShade="F2"/>
        <w:spacing w:line="240" w:lineRule="auto"/>
        <w:jc w:val="center"/>
        <w:rPr>
          <w:b/>
          <w:bCs/>
          <w:sz w:val="40"/>
          <w:szCs w:val="40"/>
        </w:rPr>
      </w:pPr>
      <w:r w:rsidRPr="00375CF6">
        <w:rPr>
          <w:b/>
          <w:bCs/>
          <w:sz w:val="40"/>
          <w:szCs w:val="40"/>
          <w:rtl/>
        </w:rPr>
        <w:lastRenderedPageBreak/>
        <w:t>موقع المتحف وتصميمه المعماري</w:t>
      </w:r>
    </w:p>
    <w:p w14:paraId="5F523274" w14:textId="77777777" w:rsidR="00375CF6" w:rsidRPr="00375CF6" w:rsidRDefault="00375CF6" w:rsidP="00375CF6">
      <w:pPr>
        <w:spacing w:line="276" w:lineRule="auto"/>
        <w:jc w:val="both"/>
        <w:rPr>
          <w:sz w:val="32"/>
          <w:szCs w:val="32"/>
        </w:rPr>
      </w:pPr>
      <w:r w:rsidRPr="00375CF6">
        <w:rPr>
          <w:sz w:val="32"/>
          <w:szCs w:val="32"/>
          <w:rtl/>
        </w:rPr>
        <w:t>يقع المتحف المصري في منطقة التحرير بوسط القاهرة، وهو موقع استراتيجي يعكس فكرًا معماريًا أراد أن يضع الذاكرة المصرية في قلب العاصمة الحديثة. المبنى بواجهته الوردية الشهيرة وتصميمه الكلاسيكي يمثل أحد أهم أمثلة العمارة الأوروبية في نهاية القرن التاسع عشر، لكنه في الوقت نفسه يحمل روحًا مصرية واضحة، سواء في تقسيم القاعات أو في طريقة العرض التي تبرز جماليات القطعة دون مبالغة</w:t>
      </w:r>
      <w:r w:rsidRPr="00375CF6">
        <w:rPr>
          <w:sz w:val="32"/>
          <w:szCs w:val="32"/>
        </w:rPr>
        <w:t>.</w:t>
      </w:r>
    </w:p>
    <w:p w14:paraId="6F667C4E" w14:textId="77777777" w:rsidR="00375CF6" w:rsidRPr="00375CF6" w:rsidRDefault="00375CF6" w:rsidP="00375CF6">
      <w:pPr>
        <w:spacing w:line="276" w:lineRule="auto"/>
        <w:jc w:val="both"/>
        <w:rPr>
          <w:sz w:val="32"/>
          <w:szCs w:val="32"/>
        </w:rPr>
      </w:pPr>
      <w:r w:rsidRPr="00375CF6">
        <w:rPr>
          <w:sz w:val="32"/>
          <w:szCs w:val="32"/>
          <w:rtl/>
        </w:rPr>
        <w:t>يتكون المتحف من طابقين رئيسيين، إضافة إلى المخازن السفلية. تم تخصيص الطابق الأرضي للآثار الكبيرة والتماثيل الضخمة وتوابيت الملوك والأعمدة والأحجار الضخمة. أما الطابق العلوي فيضم المجموعات الأصغر حجمًا ولكن الأكثر دقة وقيمة، مثل المجوهرات، والأقنعة، والبرديات، والتماثيل الصغيرة، وتمائم الحماية، وأدوات الطقوس الدينية</w:t>
      </w:r>
      <w:r w:rsidRPr="00375CF6">
        <w:rPr>
          <w:sz w:val="32"/>
          <w:szCs w:val="32"/>
        </w:rPr>
        <w:t>.</w:t>
      </w:r>
      <w:r w:rsidRPr="00375CF6">
        <w:rPr>
          <w:sz w:val="32"/>
          <w:szCs w:val="32"/>
        </w:rPr>
        <w:br/>
      </w:r>
      <w:r w:rsidRPr="00375CF6">
        <w:rPr>
          <w:sz w:val="32"/>
          <w:szCs w:val="32"/>
          <w:rtl/>
        </w:rPr>
        <w:t>وقد حافظ المتحف طوال العقود الماضية على روح العرض القديم الذي يعطي للزائر إحساسًا أصيلًا، كأنه يسير في مخزن أثري مفتوح يكشف طبقات التاريخ كما هي، دون إعادة تشكيل أو تدخل مبالغ فيه</w:t>
      </w:r>
      <w:r w:rsidRPr="00375CF6">
        <w:rPr>
          <w:sz w:val="32"/>
          <w:szCs w:val="32"/>
        </w:rPr>
        <w:t>.</w:t>
      </w:r>
    </w:p>
    <w:p w14:paraId="41C1315E" w14:textId="4307ADBC" w:rsidR="00375CF6" w:rsidRPr="00375CF6" w:rsidRDefault="00375CF6" w:rsidP="00375CF6">
      <w:pPr>
        <w:shd w:val="clear" w:color="auto" w:fill="F2F2F2" w:themeFill="background1" w:themeFillShade="F2"/>
        <w:spacing w:line="240" w:lineRule="auto"/>
        <w:jc w:val="center"/>
        <w:rPr>
          <w:b/>
          <w:bCs/>
          <w:sz w:val="40"/>
          <w:szCs w:val="40"/>
        </w:rPr>
      </w:pPr>
      <w:r w:rsidRPr="00375CF6">
        <w:rPr>
          <w:b/>
          <w:bCs/>
          <w:sz w:val="40"/>
          <w:szCs w:val="40"/>
          <w:rtl/>
        </w:rPr>
        <w:t>المجموعات الأثرية داخل المتحف</w:t>
      </w:r>
    </w:p>
    <w:p w14:paraId="2B8FADEE" w14:textId="77777777" w:rsidR="00375CF6" w:rsidRPr="00375CF6" w:rsidRDefault="00375CF6" w:rsidP="00375CF6">
      <w:pPr>
        <w:spacing w:line="276" w:lineRule="auto"/>
        <w:jc w:val="both"/>
        <w:rPr>
          <w:sz w:val="32"/>
          <w:szCs w:val="32"/>
        </w:rPr>
      </w:pPr>
      <w:r w:rsidRPr="00375CF6">
        <w:rPr>
          <w:sz w:val="32"/>
          <w:szCs w:val="32"/>
          <w:rtl/>
        </w:rPr>
        <w:t>يحتوي المتحف المصري على عشرات الآلاف من القطع التي تمثل كل مراحل الحضارة المصرية القديمة تقريبًا، منذ عصور ما قبل الأسرات وحتى نهاية الحكم الروماني. وتتنوع المقتنيات بين تماثيل، وأقنعة ملكية، ومومياوات، وأدوات معيشة، وحُلي، ولفائف بردي نادرة، ولوحات أثرية، وأسلحة، وتمائم، ونقوش حجرية</w:t>
      </w:r>
      <w:r w:rsidRPr="00375CF6">
        <w:rPr>
          <w:sz w:val="32"/>
          <w:szCs w:val="32"/>
        </w:rPr>
        <w:t>.</w:t>
      </w:r>
    </w:p>
    <w:p w14:paraId="42104194" w14:textId="77777777" w:rsidR="00375CF6" w:rsidRPr="00375CF6" w:rsidRDefault="00375CF6" w:rsidP="00375CF6">
      <w:pPr>
        <w:spacing w:line="276" w:lineRule="auto"/>
        <w:jc w:val="both"/>
        <w:rPr>
          <w:b/>
          <w:bCs/>
          <w:sz w:val="32"/>
          <w:szCs w:val="32"/>
          <w:u w:val="single"/>
        </w:rPr>
      </w:pPr>
      <w:r w:rsidRPr="00375CF6">
        <w:rPr>
          <w:b/>
          <w:bCs/>
          <w:sz w:val="32"/>
          <w:szCs w:val="32"/>
          <w:u w:val="single"/>
          <w:rtl/>
        </w:rPr>
        <w:t>أبرز المجموعات التي يحتويها المتحف</w:t>
      </w:r>
      <w:r w:rsidRPr="00375CF6">
        <w:rPr>
          <w:b/>
          <w:bCs/>
          <w:sz w:val="32"/>
          <w:szCs w:val="32"/>
        </w:rPr>
        <w:t>:</w:t>
      </w:r>
    </w:p>
    <w:p w14:paraId="04B09480" w14:textId="77777777" w:rsidR="00375CF6" w:rsidRPr="00375CF6" w:rsidRDefault="00375CF6" w:rsidP="00375CF6">
      <w:pPr>
        <w:numPr>
          <w:ilvl w:val="0"/>
          <w:numId w:val="4"/>
        </w:numPr>
        <w:spacing w:after="0" w:line="276" w:lineRule="auto"/>
        <w:jc w:val="both"/>
        <w:rPr>
          <w:sz w:val="32"/>
          <w:szCs w:val="32"/>
        </w:rPr>
      </w:pPr>
      <w:r w:rsidRPr="00375CF6">
        <w:rPr>
          <w:b/>
          <w:bCs/>
          <w:sz w:val="32"/>
          <w:szCs w:val="32"/>
          <w:rtl/>
        </w:rPr>
        <w:t>مجموعة الملكة تي وزوجها يويا وتويا</w:t>
      </w:r>
      <w:r w:rsidRPr="00375CF6">
        <w:rPr>
          <w:sz w:val="32"/>
          <w:szCs w:val="32"/>
          <w:rtl/>
        </w:rPr>
        <w:t xml:space="preserve"> وهي إحدى أفضل المجموعات المحفوظة في تاريخ الاكتشافات المصرية</w:t>
      </w:r>
      <w:r w:rsidRPr="00375CF6">
        <w:rPr>
          <w:sz w:val="32"/>
          <w:szCs w:val="32"/>
        </w:rPr>
        <w:t>.</w:t>
      </w:r>
    </w:p>
    <w:p w14:paraId="053D9BCA" w14:textId="77777777" w:rsidR="00375CF6" w:rsidRPr="00375CF6" w:rsidRDefault="00375CF6" w:rsidP="00375CF6">
      <w:pPr>
        <w:numPr>
          <w:ilvl w:val="0"/>
          <w:numId w:val="4"/>
        </w:numPr>
        <w:spacing w:after="0" w:line="276" w:lineRule="auto"/>
        <w:jc w:val="both"/>
        <w:rPr>
          <w:sz w:val="32"/>
          <w:szCs w:val="32"/>
        </w:rPr>
      </w:pPr>
      <w:r w:rsidRPr="00375CF6">
        <w:rPr>
          <w:b/>
          <w:bCs/>
          <w:sz w:val="32"/>
          <w:szCs w:val="32"/>
          <w:rtl/>
        </w:rPr>
        <w:t>تماثيل الملوك العظماء</w:t>
      </w:r>
      <w:r w:rsidRPr="00375CF6">
        <w:rPr>
          <w:sz w:val="32"/>
          <w:szCs w:val="32"/>
          <w:rtl/>
        </w:rPr>
        <w:t xml:space="preserve"> مثل خوفو وخفرع </w:t>
      </w:r>
      <w:proofErr w:type="spellStart"/>
      <w:r w:rsidRPr="00375CF6">
        <w:rPr>
          <w:sz w:val="32"/>
          <w:szCs w:val="32"/>
          <w:rtl/>
        </w:rPr>
        <w:t>ومنكاورع</w:t>
      </w:r>
      <w:proofErr w:type="spellEnd"/>
      <w:r w:rsidRPr="00375CF6">
        <w:rPr>
          <w:sz w:val="32"/>
          <w:szCs w:val="32"/>
          <w:rtl/>
        </w:rPr>
        <w:t>، والتي تجسد القوة والهيبة الملكية</w:t>
      </w:r>
      <w:r w:rsidRPr="00375CF6">
        <w:rPr>
          <w:sz w:val="32"/>
          <w:szCs w:val="32"/>
        </w:rPr>
        <w:t>.</w:t>
      </w:r>
    </w:p>
    <w:p w14:paraId="278E4B15" w14:textId="77777777" w:rsidR="00375CF6" w:rsidRPr="00375CF6" w:rsidRDefault="00375CF6" w:rsidP="00375CF6">
      <w:pPr>
        <w:numPr>
          <w:ilvl w:val="0"/>
          <w:numId w:val="4"/>
        </w:numPr>
        <w:spacing w:after="0" w:line="276" w:lineRule="auto"/>
        <w:jc w:val="both"/>
        <w:rPr>
          <w:sz w:val="32"/>
          <w:szCs w:val="32"/>
        </w:rPr>
      </w:pPr>
      <w:r w:rsidRPr="00375CF6">
        <w:rPr>
          <w:b/>
          <w:bCs/>
          <w:sz w:val="32"/>
          <w:szCs w:val="32"/>
          <w:rtl/>
        </w:rPr>
        <w:t>برديات دينية وطبية</w:t>
      </w:r>
      <w:r w:rsidRPr="00375CF6">
        <w:rPr>
          <w:sz w:val="32"/>
          <w:szCs w:val="32"/>
          <w:rtl/>
        </w:rPr>
        <w:t xml:space="preserve"> تعكس تطور الكتابة الهيروغليفية والعلوم المصرية القديمة</w:t>
      </w:r>
      <w:r w:rsidRPr="00375CF6">
        <w:rPr>
          <w:sz w:val="32"/>
          <w:szCs w:val="32"/>
        </w:rPr>
        <w:t>.</w:t>
      </w:r>
    </w:p>
    <w:p w14:paraId="18E32F09" w14:textId="77777777" w:rsidR="00375CF6" w:rsidRPr="00375CF6" w:rsidRDefault="00375CF6" w:rsidP="00375CF6">
      <w:pPr>
        <w:numPr>
          <w:ilvl w:val="0"/>
          <w:numId w:val="4"/>
        </w:numPr>
        <w:spacing w:after="0" w:line="276" w:lineRule="auto"/>
        <w:jc w:val="both"/>
        <w:rPr>
          <w:sz w:val="32"/>
          <w:szCs w:val="32"/>
        </w:rPr>
      </w:pPr>
      <w:r w:rsidRPr="00375CF6">
        <w:rPr>
          <w:b/>
          <w:bCs/>
          <w:sz w:val="32"/>
          <w:szCs w:val="32"/>
          <w:rtl/>
        </w:rPr>
        <w:t>مجموعات مومياوات ملكية</w:t>
      </w:r>
      <w:r w:rsidRPr="00375CF6">
        <w:rPr>
          <w:sz w:val="32"/>
          <w:szCs w:val="32"/>
          <w:rtl/>
        </w:rPr>
        <w:t xml:space="preserve"> تكشف تطور فن التحنيط عبر العصور</w:t>
      </w:r>
      <w:r w:rsidRPr="00375CF6">
        <w:rPr>
          <w:sz w:val="32"/>
          <w:szCs w:val="32"/>
        </w:rPr>
        <w:t>.</w:t>
      </w:r>
    </w:p>
    <w:p w14:paraId="5E902DE8" w14:textId="77777777" w:rsidR="00375CF6" w:rsidRPr="00375CF6" w:rsidRDefault="00375CF6" w:rsidP="00375CF6">
      <w:pPr>
        <w:numPr>
          <w:ilvl w:val="0"/>
          <w:numId w:val="4"/>
        </w:numPr>
        <w:spacing w:after="0" w:line="276" w:lineRule="auto"/>
        <w:jc w:val="both"/>
        <w:rPr>
          <w:sz w:val="32"/>
          <w:szCs w:val="32"/>
        </w:rPr>
      </w:pPr>
      <w:r w:rsidRPr="00375CF6">
        <w:rPr>
          <w:b/>
          <w:bCs/>
          <w:sz w:val="32"/>
          <w:szCs w:val="32"/>
          <w:rtl/>
        </w:rPr>
        <w:t>الحُلي والمجوهرات الملكية</w:t>
      </w:r>
      <w:r w:rsidRPr="00375CF6">
        <w:rPr>
          <w:sz w:val="32"/>
          <w:szCs w:val="32"/>
          <w:rtl/>
        </w:rPr>
        <w:t xml:space="preserve"> التي توضح مدى تقدم المصريين في تصميم المعادن والأحجار الكريمة</w:t>
      </w:r>
      <w:r w:rsidRPr="00375CF6">
        <w:rPr>
          <w:sz w:val="32"/>
          <w:szCs w:val="32"/>
        </w:rPr>
        <w:t>.</w:t>
      </w:r>
    </w:p>
    <w:p w14:paraId="5C3DFB9D" w14:textId="77777777" w:rsidR="00375CF6" w:rsidRPr="00375CF6" w:rsidRDefault="00375CF6" w:rsidP="00375CF6">
      <w:pPr>
        <w:numPr>
          <w:ilvl w:val="0"/>
          <w:numId w:val="4"/>
        </w:numPr>
        <w:spacing w:line="276" w:lineRule="auto"/>
        <w:jc w:val="both"/>
        <w:rPr>
          <w:sz w:val="32"/>
          <w:szCs w:val="32"/>
        </w:rPr>
      </w:pPr>
      <w:r w:rsidRPr="00375CF6">
        <w:rPr>
          <w:b/>
          <w:bCs/>
          <w:sz w:val="32"/>
          <w:szCs w:val="32"/>
          <w:rtl/>
        </w:rPr>
        <w:t>القطع اليومية</w:t>
      </w:r>
      <w:r w:rsidRPr="00375CF6">
        <w:rPr>
          <w:sz w:val="32"/>
          <w:szCs w:val="32"/>
          <w:rtl/>
        </w:rPr>
        <w:t xml:space="preserve"> التي تُظهر حياة المصري القديم في بيته، ومطبخه، ومعبده</w:t>
      </w:r>
      <w:r w:rsidRPr="00375CF6">
        <w:rPr>
          <w:sz w:val="32"/>
          <w:szCs w:val="32"/>
        </w:rPr>
        <w:t>.</w:t>
      </w:r>
    </w:p>
    <w:p w14:paraId="50EAAA2C" w14:textId="77777777" w:rsidR="00375CF6" w:rsidRPr="00375CF6" w:rsidRDefault="00375CF6" w:rsidP="00375CF6">
      <w:pPr>
        <w:spacing w:line="276" w:lineRule="auto"/>
        <w:jc w:val="both"/>
        <w:rPr>
          <w:sz w:val="32"/>
          <w:szCs w:val="32"/>
        </w:rPr>
      </w:pPr>
      <w:r w:rsidRPr="00375CF6">
        <w:rPr>
          <w:sz w:val="32"/>
          <w:szCs w:val="32"/>
          <w:rtl/>
        </w:rPr>
        <w:t>تمثل هذه المجموعات ثروة معرفية فريدة تمنح الزائر فرصة لفهم الحياة المصرية القديمة بتفاصيلها الدقيقة، بعيدًا عن الصورة النمطية التي تحصر التاريخ في الملوك والأهرامات فقط</w:t>
      </w:r>
      <w:r w:rsidRPr="00375CF6">
        <w:rPr>
          <w:sz w:val="32"/>
          <w:szCs w:val="32"/>
        </w:rPr>
        <w:t>.</w:t>
      </w:r>
    </w:p>
    <w:p w14:paraId="74E3135E" w14:textId="4327446B" w:rsidR="00375CF6" w:rsidRPr="00375CF6" w:rsidRDefault="00375CF6" w:rsidP="00375CF6">
      <w:pPr>
        <w:shd w:val="clear" w:color="auto" w:fill="F2F2F2" w:themeFill="background1" w:themeFillShade="F2"/>
        <w:spacing w:line="240" w:lineRule="auto"/>
        <w:jc w:val="center"/>
        <w:rPr>
          <w:b/>
          <w:bCs/>
          <w:sz w:val="40"/>
          <w:szCs w:val="40"/>
        </w:rPr>
      </w:pPr>
      <w:r w:rsidRPr="00375CF6">
        <w:rPr>
          <w:b/>
          <w:bCs/>
          <w:sz w:val="40"/>
          <w:szCs w:val="40"/>
          <w:rtl/>
        </w:rPr>
        <w:lastRenderedPageBreak/>
        <w:t>أهمية المتحف المصري علميًا وثقافيًا</w:t>
      </w:r>
    </w:p>
    <w:p w14:paraId="466B0225" w14:textId="77777777" w:rsidR="00375CF6" w:rsidRPr="00375CF6" w:rsidRDefault="00375CF6" w:rsidP="00375CF6">
      <w:pPr>
        <w:spacing w:line="276" w:lineRule="auto"/>
        <w:jc w:val="both"/>
        <w:rPr>
          <w:sz w:val="32"/>
          <w:szCs w:val="32"/>
        </w:rPr>
      </w:pPr>
      <w:r w:rsidRPr="00375CF6">
        <w:rPr>
          <w:sz w:val="32"/>
          <w:szCs w:val="32"/>
          <w:rtl/>
        </w:rPr>
        <w:t>يلعب المتحف المصري دورًا مزدوجًا، فهو ليس فقط مكانًا لعرض الآثار، بل هو مؤسسة بحثية متقدمة. يعمل داخله فريق كبير من علماء المصريات، والمرممين، والمتخصصين في الحفظ والترميم. ويُستخدم المتحف كمركز تدريبي للطلاب والباحثين من أنحاء العالم، ويستضيف مؤتمرات علمية وورش عمل متخصصة في دراسة الحضارة المصرية</w:t>
      </w:r>
      <w:r w:rsidRPr="00375CF6">
        <w:rPr>
          <w:sz w:val="32"/>
          <w:szCs w:val="32"/>
        </w:rPr>
        <w:t>.</w:t>
      </w:r>
    </w:p>
    <w:p w14:paraId="4009EB48" w14:textId="77777777" w:rsidR="00375CF6" w:rsidRDefault="00375CF6" w:rsidP="00375CF6">
      <w:pPr>
        <w:spacing w:line="276" w:lineRule="auto"/>
        <w:jc w:val="both"/>
        <w:rPr>
          <w:sz w:val="32"/>
          <w:szCs w:val="32"/>
          <w:rtl/>
        </w:rPr>
      </w:pPr>
      <w:r w:rsidRPr="00375CF6">
        <w:rPr>
          <w:sz w:val="32"/>
          <w:szCs w:val="32"/>
          <w:rtl/>
        </w:rPr>
        <w:t>أهمية المتحف لا تكمن فقط في محتواه، بل في دوره الثقافي. فهو واجهة مصر أمام العالم، ومقصد رئيسي للسياح والمهتمين بالتاريخ. ومن خلاله يتعرف الملايين على الهوية المصرية القديمة، ويكتشفون عمقها وثراءها</w:t>
      </w:r>
      <w:r w:rsidRPr="00375CF6">
        <w:rPr>
          <w:sz w:val="32"/>
          <w:szCs w:val="32"/>
        </w:rPr>
        <w:t>.</w:t>
      </w:r>
    </w:p>
    <w:p w14:paraId="123E2F2B" w14:textId="57940ED6" w:rsidR="00375CF6" w:rsidRPr="00375CF6" w:rsidRDefault="00375CF6" w:rsidP="00375CF6">
      <w:pPr>
        <w:spacing w:line="276" w:lineRule="auto"/>
        <w:jc w:val="both"/>
        <w:rPr>
          <w:sz w:val="32"/>
          <w:szCs w:val="32"/>
        </w:rPr>
      </w:pPr>
      <w:r w:rsidRPr="00375CF6">
        <w:rPr>
          <w:sz w:val="32"/>
          <w:szCs w:val="32"/>
          <w:rtl/>
        </w:rPr>
        <w:t>كما يمثل المتحف رابطًا وجدانيًا للمصريين أنفسهم؛ فهو يجمع أجزاء من تاريخ آبائهم وأجدادهم ويحفظها من الضياع، ليبقى اتصالهم بالماضي حيًا وقادرًا على الإلهام والحفاظ على الانتماء الوطني</w:t>
      </w:r>
      <w:r w:rsidRPr="00375CF6">
        <w:rPr>
          <w:sz w:val="32"/>
          <w:szCs w:val="32"/>
        </w:rPr>
        <w:t>.</w:t>
      </w:r>
    </w:p>
    <w:p w14:paraId="76A44368" w14:textId="77777777" w:rsidR="00375CF6" w:rsidRPr="00375CF6" w:rsidRDefault="00375CF6" w:rsidP="00375CF6">
      <w:pPr>
        <w:spacing w:line="276" w:lineRule="auto"/>
        <w:jc w:val="both"/>
        <w:rPr>
          <w:sz w:val="32"/>
          <w:szCs w:val="32"/>
        </w:rPr>
      </w:pPr>
      <w:r w:rsidRPr="00375CF6">
        <w:rPr>
          <w:sz w:val="32"/>
          <w:szCs w:val="32"/>
        </w:rPr>
        <w:pict w14:anchorId="2D0DCFBD">
          <v:rect id="_x0000_i1263" style="width:0;height:1.5pt" o:hralign="center" o:hrstd="t" o:hr="t" fillcolor="#a0a0a0" stroked="f"/>
        </w:pict>
      </w:r>
    </w:p>
    <w:p w14:paraId="16BAF53B" w14:textId="0E7719AD" w:rsidR="00375CF6" w:rsidRPr="00375CF6" w:rsidRDefault="00375CF6" w:rsidP="00375CF6">
      <w:pPr>
        <w:shd w:val="clear" w:color="auto" w:fill="F2F2F2" w:themeFill="background1" w:themeFillShade="F2"/>
        <w:spacing w:line="240" w:lineRule="auto"/>
        <w:jc w:val="center"/>
        <w:rPr>
          <w:b/>
          <w:bCs/>
          <w:sz w:val="40"/>
          <w:szCs w:val="40"/>
        </w:rPr>
      </w:pPr>
      <w:r w:rsidRPr="00375CF6">
        <w:rPr>
          <w:b/>
          <w:bCs/>
          <w:sz w:val="40"/>
          <w:szCs w:val="40"/>
          <w:rtl/>
        </w:rPr>
        <w:t>التحديات التي واجهت المتحف عبر الزمن</w:t>
      </w:r>
    </w:p>
    <w:p w14:paraId="2969FD1D" w14:textId="77777777" w:rsidR="00375CF6" w:rsidRDefault="00375CF6" w:rsidP="00375CF6">
      <w:pPr>
        <w:spacing w:line="276" w:lineRule="auto"/>
        <w:jc w:val="both"/>
        <w:rPr>
          <w:sz w:val="32"/>
          <w:szCs w:val="32"/>
          <w:rtl/>
        </w:rPr>
      </w:pPr>
      <w:r w:rsidRPr="00375CF6">
        <w:rPr>
          <w:sz w:val="32"/>
          <w:szCs w:val="32"/>
          <w:rtl/>
        </w:rPr>
        <w:t>على مدار أكثر من قرن، واجه المتحف المصري تحديات عديدة، بعضها كان مرتبطًا بالتطور العمراني السريع في القاهرة، والبعض الآخر مرتبطًا بحجم المقتنيات الضخم مقارنة بمساحة العرض المتاحة</w:t>
      </w:r>
      <w:r w:rsidRPr="00375CF6">
        <w:rPr>
          <w:sz w:val="32"/>
          <w:szCs w:val="32"/>
        </w:rPr>
        <w:t>.</w:t>
      </w:r>
    </w:p>
    <w:p w14:paraId="1D5E8312" w14:textId="621FFF0D" w:rsidR="00375CF6" w:rsidRPr="00375CF6" w:rsidRDefault="00375CF6" w:rsidP="00375CF6">
      <w:pPr>
        <w:spacing w:line="276" w:lineRule="auto"/>
        <w:jc w:val="both"/>
        <w:rPr>
          <w:sz w:val="32"/>
          <w:szCs w:val="32"/>
        </w:rPr>
      </w:pPr>
      <w:r w:rsidRPr="00375CF6">
        <w:rPr>
          <w:sz w:val="32"/>
          <w:szCs w:val="32"/>
          <w:rtl/>
        </w:rPr>
        <w:t>فعدد القطع التي يمتلكها المتحف يتجاوز في بعض التقديرات 180 ألف قطعة، وهو ما يعني أن نسبة كبيرة من الآثار تبقى داخل المخازن، لعدم وجود مساحة كافية لعرضها بالشكل الأمثل</w:t>
      </w:r>
      <w:r w:rsidRPr="00375CF6">
        <w:rPr>
          <w:sz w:val="32"/>
          <w:szCs w:val="32"/>
        </w:rPr>
        <w:t>.</w:t>
      </w:r>
      <w:r w:rsidRPr="00375CF6">
        <w:rPr>
          <w:sz w:val="32"/>
          <w:szCs w:val="32"/>
        </w:rPr>
        <w:br/>
      </w:r>
      <w:r w:rsidRPr="00375CF6">
        <w:rPr>
          <w:sz w:val="32"/>
          <w:szCs w:val="32"/>
          <w:rtl/>
        </w:rPr>
        <w:t>كما أن عمليات الترميم كانت وما زالت تحتاج إلى جهود كبيرة، خاصة للقطع الحساسة التي تتطلب عناية دقيقة، إضافة إلى التحديات المرتبطة بالحفاظ على درجات الحرارة والرطوبة المناسبة</w:t>
      </w:r>
      <w:r w:rsidRPr="00375CF6">
        <w:rPr>
          <w:sz w:val="32"/>
          <w:szCs w:val="32"/>
        </w:rPr>
        <w:t>.</w:t>
      </w:r>
      <w:r w:rsidRPr="00375CF6">
        <w:rPr>
          <w:sz w:val="32"/>
          <w:szCs w:val="32"/>
        </w:rPr>
        <w:br/>
      </w:r>
      <w:r w:rsidRPr="00375CF6">
        <w:rPr>
          <w:sz w:val="32"/>
          <w:szCs w:val="32"/>
          <w:rtl/>
        </w:rPr>
        <w:t>ومع تأسيس المتحف المصري الكبير بجوار الأهرامات، بدأ المتحف المصري بالتحرير في الدخول في مرحلة جديدة تركز على تطوير أساليب العرض، وتنظيم المقتنيات، وإعادة توزيع بعض المجموعات بحيث يصبح متحفًا متخصصًا في فترات محددة بدلًا من كونه عرضًا شاملًا لكل شيء</w:t>
      </w:r>
      <w:r w:rsidRPr="00375CF6">
        <w:rPr>
          <w:sz w:val="32"/>
          <w:szCs w:val="32"/>
        </w:rPr>
        <w:t>.</w:t>
      </w:r>
    </w:p>
    <w:p w14:paraId="4DD70A94" w14:textId="77777777" w:rsidR="00375CF6" w:rsidRDefault="00375CF6" w:rsidP="00375CF6">
      <w:pPr>
        <w:spacing w:line="276" w:lineRule="auto"/>
        <w:jc w:val="both"/>
        <w:rPr>
          <w:sz w:val="32"/>
          <w:szCs w:val="32"/>
          <w:rtl/>
        </w:rPr>
      </w:pPr>
      <w:r w:rsidRPr="00375CF6">
        <w:rPr>
          <w:sz w:val="32"/>
          <w:szCs w:val="32"/>
        </w:rPr>
        <w:pict w14:anchorId="05E75709">
          <v:rect id="_x0000_i1264" style="width:0;height:1.5pt" o:hralign="center" o:hrstd="t" o:hr="t" fillcolor="#a0a0a0" stroked="f"/>
        </w:pict>
      </w:r>
    </w:p>
    <w:p w14:paraId="11A1DA0B" w14:textId="77777777" w:rsidR="00375CF6" w:rsidRPr="00375CF6" w:rsidRDefault="00375CF6" w:rsidP="00375CF6">
      <w:pPr>
        <w:spacing w:line="276" w:lineRule="auto"/>
        <w:jc w:val="both"/>
        <w:rPr>
          <w:sz w:val="32"/>
          <w:szCs w:val="32"/>
        </w:rPr>
      </w:pPr>
    </w:p>
    <w:p w14:paraId="4DBD9CB7" w14:textId="77777777" w:rsidR="00375CF6" w:rsidRPr="00375CF6" w:rsidRDefault="00375CF6" w:rsidP="00375CF6">
      <w:pPr>
        <w:shd w:val="clear" w:color="auto" w:fill="F2F2F2" w:themeFill="background1" w:themeFillShade="F2"/>
        <w:spacing w:line="240" w:lineRule="auto"/>
        <w:jc w:val="center"/>
        <w:rPr>
          <w:b/>
          <w:bCs/>
          <w:sz w:val="40"/>
          <w:szCs w:val="40"/>
        </w:rPr>
      </w:pPr>
      <w:r w:rsidRPr="00375CF6">
        <w:rPr>
          <w:b/>
          <w:bCs/>
          <w:sz w:val="40"/>
          <w:szCs w:val="40"/>
          <w:rtl/>
        </w:rPr>
        <w:lastRenderedPageBreak/>
        <w:t>الخاتمة</w:t>
      </w:r>
    </w:p>
    <w:p w14:paraId="0BA89D1C" w14:textId="36CA1C8A" w:rsidR="00375CF6" w:rsidRDefault="00375CF6" w:rsidP="00375CF6">
      <w:pPr>
        <w:spacing w:line="276" w:lineRule="auto"/>
        <w:jc w:val="both"/>
        <w:rPr>
          <w:sz w:val="32"/>
          <w:szCs w:val="32"/>
          <w:rtl/>
        </w:rPr>
      </w:pPr>
      <w:r w:rsidRPr="00375CF6">
        <w:rPr>
          <w:sz w:val="32"/>
          <w:szCs w:val="32"/>
          <w:rtl/>
        </w:rPr>
        <w:t>يقف المتحف المصري اليوم كأنّه كتاب ضخم مفتوح على صفحات الزمان، يقرأ فيه الزائر فصولًا من الحضارة المصرية بملوكها وكهنتها وعلمائها وجنودها وعامتِها. هو شاهد على رحلة الإنسان نحو الخلود، وعلى إصراره على تسجيل كل لحظة من حياته فوق الحجر والخشب والبردي</w:t>
      </w:r>
      <w:r w:rsidRPr="00375CF6">
        <w:rPr>
          <w:sz w:val="32"/>
          <w:szCs w:val="32"/>
        </w:rPr>
        <w:t>.</w:t>
      </w:r>
    </w:p>
    <w:p w14:paraId="7E320739" w14:textId="5E9FE2BC" w:rsidR="00375CF6" w:rsidRPr="00375CF6" w:rsidRDefault="00375CF6" w:rsidP="00375CF6">
      <w:pPr>
        <w:spacing w:line="276" w:lineRule="auto"/>
        <w:jc w:val="both"/>
        <w:rPr>
          <w:sz w:val="32"/>
          <w:szCs w:val="32"/>
        </w:rPr>
      </w:pPr>
      <w:r w:rsidRPr="00375CF6">
        <w:rPr>
          <w:sz w:val="32"/>
          <w:szCs w:val="32"/>
          <w:rtl/>
        </w:rPr>
        <w:t>ورغم بناء المتحف المصري الكبير، سيظل المتحف المصري في التحرير رمزًا تاريخيًا وثقافيًا، وقطعة من ذاكرة القاهرة، وجزءًا من هوية المصريين. إنه ليس مجرد مكان نحفظ فيه الآثار، بل رمز يُذكّرنا بأن الماضي ليس بعيدًا كما نظن، وأن كل قطعة أثرية – مهما كانت صغيرة – تحمل حكاية يمكن أن تغيّر نظرتنا للحياة والإنسان والتاريخ</w:t>
      </w:r>
      <w:r w:rsidRPr="00375CF6">
        <w:rPr>
          <w:sz w:val="32"/>
          <w:szCs w:val="32"/>
        </w:rPr>
        <w:t>.</w:t>
      </w:r>
      <w:r w:rsidRPr="00375CF6">
        <w:rPr>
          <w:sz w:val="32"/>
          <w:szCs w:val="32"/>
        </w:rPr>
        <w:br/>
      </w:r>
      <w:r w:rsidRPr="00375CF6">
        <w:rPr>
          <w:sz w:val="32"/>
          <w:szCs w:val="32"/>
          <w:rtl/>
        </w:rPr>
        <w:t>وهكذا يبقى المتحف المصري شاهدًا على واحدة من أعظم الحضارات التي عرفتها الأرض، ونافذة نطل منها على ماضٍ لا يزال يدهشنا ويلهمنا حتى اللحظة</w:t>
      </w:r>
      <w:r w:rsidRPr="00375CF6">
        <w:rPr>
          <w:sz w:val="32"/>
          <w:szCs w:val="32"/>
        </w:rPr>
        <w:t>.</w:t>
      </w:r>
    </w:p>
    <w:p w14:paraId="604C0161" w14:textId="77777777" w:rsidR="00375CF6" w:rsidRPr="00375CF6" w:rsidRDefault="00375CF6" w:rsidP="00375CF6">
      <w:pPr>
        <w:spacing w:line="276" w:lineRule="auto"/>
        <w:jc w:val="both"/>
        <w:rPr>
          <w:sz w:val="32"/>
          <w:szCs w:val="32"/>
        </w:rPr>
      </w:pPr>
      <w:r w:rsidRPr="00375CF6">
        <w:rPr>
          <w:sz w:val="32"/>
          <w:szCs w:val="32"/>
        </w:rPr>
        <w:pict w14:anchorId="1702B1CA">
          <v:rect id="_x0000_i1265" style="width:0;height:1.5pt" o:hralign="center" o:hrstd="t" o:hr="t" fillcolor="#a0a0a0" stroked="f"/>
        </w:pict>
      </w:r>
    </w:p>
    <w:p w14:paraId="682F8BE4" w14:textId="77777777" w:rsidR="00310FBC" w:rsidRPr="00375CF6" w:rsidRDefault="00310FBC" w:rsidP="00375CF6">
      <w:pPr>
        <w:spacing w:line="276" w:lineRule="auto"/>
        <w:jc w:val="both"/>
        <w:rPr>
          <w:sz w:val="32"/>
          <w:szCs w:val="32"/>
        </w:rPr>
      </w:pPr>
    </w:p>
    <w:sectPr w:rsidR="00310FBC" w:rsidRPr="00375CF6" w:rsidSect="00375CF6">
      <w:pgSz w:w="11906" w:h="16838"/>
      <w:pgMar w:top="1418" w:right="1418" w:bottom="1276" w:left="1418"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Kufi Arabic">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35782"/>
    <w:multiLevelType w:val="multilevel"/>
    <w:tmpl w:val="CF940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E6215D"/>
    <w:multiLevelType w:val="multilevel"/>
    <w:tmpl w:val="36F82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212EE4"/>
    <w:multiLevelType w:val="multilevel"/>
    <w:tmpl w:val="482047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A7C64D6"/>
    <w:multiLevelType w:val="multilevel"/>
    <w:tmpl w:val="87E49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0033865">
    <w:abstractNumId w:val="3"/>
  </w:num>
  <w:num w:numId="2" w16cid:durableId="311563042">
    <w:abstractNumId w:val="0"/>
  </w:num>
  <w:num w:numId="3" w16cid:durableId="185020704">
    <w:abstractNumId w:val="1"/>
  </w:num>
  <w:num w:numId="4" w16cid:durableId="199709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CF6"/>
    <w:rsid w:val="002A65FC"/>
    <w:rsid w:val="00310FBC"/>
    <w:rsid w:val="00375CF6"/>
    <w:rsid w:val="005262FF"/>
    <w:rsid w:val="00786C12"/>
    <w:rsid w:val="00CC54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27C36"/>
  <w15:chartTrackingRefBased/>
  <w15:docId w15:val="{447B4AAD-B045-4C59-AAD6-EE01A31E8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CF6"/>
    <w:pPr>
      <w:bidi/>
    </w:pPr>
  </w:style>
  <w:style w:type="paragraph" w:styleId="1">
    <w:name w:val="heading 1"/>
    <w:basedOn w:val="a"/>
    <w:next w:val="a"/>
    <w:link w:val="1Char"/>
    <w:uiPriority w:val="9"/>
    <w:qFormat/>
    <w:rsid w:val="00375C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375C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375CF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375CF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375CF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375CF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75CF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75CF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75CF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375CF6"/>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375CF6"/>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375CF6"/>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375CF6"/>
    <w:rPr>
      <w:rFonts w:eastAsiaTheme="majorEastAsia" w:cstheme="majorBidi"/>
      <w:i/>
      <w:iCs/>
      <w:color w:val="2F5496" w:themeColor="accent1" w:themeShade="BF"/>
    </w:rPr>
  </w:style>
  <w:style w:type="character" w:customStyle="1" w:styleId="5Char">
    <w:name w:val="عنوان 5 Char"/>
    <w:basedOn w:val="a0"/>
    <w:link w:val="5"/>
    <w:uiPriority w:val="9"/>
    <w:semiHidden/>
    <w:rsid w:val="00375CF6"/>
    <w:rPr>
      <w:rFonts w:eastAsiaTheme="majorEastAsia" w:cstheme="majorBidi"/>
      <w:color w:val="2F5496" w:themeColor="accent1" w:themeShade="BF"/>
    </w:rPr>
  </w:style>
  <w:style w:type="character" w:customStyle="1" w:styleId="6Char">
    <w:name w:val="عنوان 6 Char"/>
    <w:basedOn w:val="a0"/>
    <w:link w:val="6"/>
    <w:uiPriority w:val="9"/>
    <w:semiHidden/>
    <w:rsid w:val="00375CF6"/>
    <w:rPr>
      <w:rFonts w:eastAsiaTheme="majorEastAsia" w:cstheme="majorBidi"/>
      <w:i/>
      <w:iCs/>
      <w:color w:val="595959" w:themeColor="text1" w:themeTint="A6"/>
    </w:rPr>
  </w:style>
  <w:style w:type="character" w:customStyle="1" w:styleId="7Char">
    <w:name w:val="عنوان 7 Char"/>
    <w:basedOn w:val="a0"/>
    <w:link w:val="7"/>
    <w:uiPriority w:val="9"/>
    <w:semiHidden/>
    <w:rsid w:val="00375CF6"/>
    <w:rPr>
      <w:rFonts w:eastAsiaTheme="majorEastAsia" w:cstheme="majorBidi"/>
      <w:color w:val="595959" w:themeColor="text1" w:themeTint="A6"/>
    </w:rPr>
  </w:style>
  <w:style w:type="character" w:customStyle="1" w:styleId="8Char">
    <w:name w:val="عنوان 8 Char"/>
    <w:basedOn w:val="a0"/>
    <w:link w:val="8"/>
    <w:uiPriority w:val="9"/>
    <w:semiHidden/>
    <w:rsid w:val="00375CF6"/>
    <w:rPr>
      <w:rFonts w:eastAsiaTheme="majorEastAsia" w:cstheme="majorBidi"/>
      <w:i/>
      <w:iCs/>
      <w:color w:val="272727" w:themeColor="text1" w:themeTint="D8"/>
    </w:rPr>
  </w:style>
  <w:style w:type="character" w:customStyle="1" w:styleId="9Char">
    <w:name w:val="عنوان 9 Char"/>
    <w:basedOn w:val="a0"/>
    <w:link w:val="9"/>
    <w:uiPriority w:val="9"/>
    <w:semiHidden/>
    <w:rsid w:val="00375CF6"/>
    <w:rPr>
      <w:rFonts w:eastAsiaTheme="majorEastAsia" w:cstheme="majorBidi"/>
      <w:color w:val="272727" w:themeColor="text1" w:themeTint="D8"/>
    </w:rPr>
  </w:style>
  <w:style w:type="paragraph" w:styleId="a3">
    <w:name w:val="Title"/>
    <w:basedOn w:val="a"/>
    <w:next w:val="a"/>
    <w:link w:val="Char"/>
    <w:uiPriority w:val="10"/>
    <w:qFormat/>
    <w:rsid w:val="00375C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375CF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75CF6"/>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375CF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75CF6"/>
    <w:pPr>
      <w:spacing w:before="160"/>
      <w:jc w:val="center"/>
    </w:pPr>
    <w:rPr>
      <w:i/>
      <w:iCs/>
      <w:color w:val="404040" w:themeColor="text1" w:themeTint="BF"/>
    </w:rPr>
  </w:style>
  <w:style w:type="character" w:customStyle="1" w:styleId="Char1">
    <w:name w:val="اقتباس Char"/>
    <w:basedOn w:val="a0"/>
    <w:link w:val="a5"/>
    <w:uiPriority w:val="29"/>
    <w:rsid w:val="00375CF6"/>
    <w:rPr>
      <w:i/>
      <w:iCs/>
      <w:color w:val="404040" w:themeColor="text1" w:themeTint="BF"/>
    </w:rPr>
  </w:style>
  <w:style w:type="paragraph" w:styleId="a6">
    <w:name w:val="List Paragraph"/>
    <w:basedOn w:val="a"/>
    <w:uiPriority w:val="34"/>
    <w:qFormat/>
    <w:rsid w:val="00375CF6"/>
    <w:pPr>
      <w:ind w:left="720"/>
      <w:contextualSpacing/>
    </w:pPr>
  </w:style>
  <w:style w:type="character" w:styleId="a7">
    <w:name w:val="Intense Emphasis"/>
    <w:basedOn w:val="a0"/>
    <w:uiPriority w:val="21"/>
    <w:qFormat/>
    <w:rsid w:val="00375CF6"/>
    <w:rPr>
      <w:i/>
      <w:iCs/>
      <w:color w:val="2F5496" w:themeColor="accent1" w:themeShade="BF"/>
    </w:rPr>
  </w:style>
  <w:style w:type="paragraph" w:styleId="a8">
    <w:name w:val="Intense Quote"/>
    <w:basedOn w:val="a"/>
    <w:next w:val="a"/>
    <w:link w:val="Char2"/>
    <w:uiPriority w:val="30"/>
    <w:qFormat/>
    <w:rsid w:val="00375C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375CF6"/>
    <w:rPr>
      <w:i/>
      <w:iCs/>
      <w:color w:val="2F5496" w:themeColor="accent1" w:themeShade="BF"/>
    </w:rPr>
  </w:style>
  <w:style w:type="character" w:styleId="a9">
    <w:name w:val="Intense Reference"/>
    <w:basedOn w:val="a0"/>
    <w:uiPriority w:val="32"/>
    <w:qFormat/>
    <w:rsid w:val="00375CF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3650">
      <w:bodyDiv w:val="1"/>
      <w:marLeft w:val="0"/>
      <w:marRight w:val="0"/>
      <w:marTop w:val="0"/>
      <w:marBottom w:val="0"/>
      <w:divBdr>
        <w:top w:val="none" w:sz="0" w:space="0" w:color="auto"/>
        <w:left w:val="none" w:sz="0" w:space="0" w:color="auto"/>
        <w:bottom w:val="none" w:sz="0" w:space="0" w:color="auto"/>
        <w:right w:val="none" w:sz="0" w:space="0" w:color="auto"/>
      </w:divBdr>
    </w:div>
    <w:div w:id="1311473268">
      <w:bodyDiv w:val="1"/>
      <w:marLeft w:val="0"/>
      <w:marRight w:val="0"/>
      <w:marTop w:val="0"/>
      <w:marBottom w:val="0"/>
      <w:divBdr>
        <w:top w:val="none" w:sz="0" w:space="0" w:color="auto"/>
        <w:left w:val="none" w:sz="0" w:space="0" w:color="auto"/>
        <w:bottom w:val="none" w:sz="0" w:space="0" w:color="auto"/>
        <w:right w:val="none" w:sz="0" w:space="0" w:color="auto"/>
      </w:divBdr>
    </w:div>
    <w:div w:id="1446971714">
      <w:bodyDiv w:val="1"/>
      <w:marLeft w:val="0"/>
      <w:marRight w:val="0"/>
      <w:marTop w:val="0"/>
      <w:marBottom w:val="0"/>
      <w:divBdr>
        <w:top w:val="none" w:sz="0" w:space="0" w:color="auto"/>
        <w:left w:val="none" w:sz="0" w:space="0" w:color="auto"/>
        <w:bottom w:val="none" w:sz="0" w:space="0" w:color="auto"/>
        <w:right w:val="none" w:sz="0" w:space="0" w:color="auto"/>
      </w:divBdr>
    </w:div>
    <w:div w:id="191196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942</Words>
  <Characters>5374</Characters>
  <Application>Microsoft Office Word</Application>
  <DocSecurity>0</DocSecurity>
  <Lines>44</Lines>
  <Paragraphs>12</Paragraphs>
  <ScaleCrop>false</ScaleCrop>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Ghanem</dc:creator>
  <cp:keywords/>
  <dc:description/>
  <cp:lastModifiedBy>Sameh Ghanem</cp:lastModifiedBy>
  <cp:revision>1</cp:revision>
  <dcterms:created xsi:type="dcterms:W3CDTF">2025-12-10T09:54:00Z</dcterms:created>
  <dcterms:modified xsi:type="dcterms:W3CDTF">2025-12-10T10:00:00Z</dcterms:modified>
</cp:coreProperties>
</file>