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80010</wp:posOffset>
            </wp:positionV>
            <wp:extent cx="2466975" cy="586105"/>
            <wp:effectExtent b="0" l="0" r="0" t="0"/>
            <wp:wrapSquare wrapText="bothSides" distB="0" distT="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6589395</wp:posOffset>
            </wp:positionH>
            <wp:positionV relativeFrom="paragraph">
              <wp:posOffset>3807</wp:posOffset>
            </wp:positionV>
            <wp:extent cx="3000375" cy="647065"/>
            <wp:effectExtent b="0" l="0" r="0" t="0"/>
            <wp:wrapSquare wrapText="bothSides" distB="0" distT="0" distL="114300" distR="11430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39730" l="0" r="0" t="38359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47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Технічна Специфікація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1. Загальні 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1.1. Замовником є БО «БФ «НАГД «ЗДОРОВІ»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1.2. Призначення: для реалізації цілей та завдань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рамках проєкту, що реалізується за підтримки GlobalGiving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4" w:lineRule="auto"/>
        <w:jc w:val="center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Учасник тендеру може подати пропозицію на будь-який товар. 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2. Технічні характеристики предметів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727"/>
        <w:gridCol w:w="4394"/>
        <w:gridCol w:w="7797"/>
        <w:tblGridChange w:id="0">
          <w:tblGrid>
            <w:gridCol w:w="2245"/>
            <w:gridCol w:w="727"/>
            <w:gridCol w:w="4394"/>
            <w:gridCol w:w="779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Кількість(од)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Характеристики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 запропонованого товару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Електрокардіограф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Тип: 12-канальний електрокардіограф (одночасна реєстрація 12 каналів ЕКГ)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Стандартні відведення: I, II, III, aVR, aVL, aVF, V1–V6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Дисплей: 5.7" LCD, роздільна здатність 320×240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Розрядність АЦП: 24 біти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Частота дискретизації: 1000 Гц/канал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Термопринтер: роздільна здатність 8 точок/мм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Папір: термопапір у рулонах 110 мм × 25 м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Швидкість друку: 5 / 10 / 25 / 50 мм/с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Живлення: від мережі змінного струму 100–240 В, 50/60 Гц або від внутрішнього акумулятора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Аналізатор біохімічний напівавтоматичний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Принцип аналізу        </w:t>
              <w:tab/>
              <w:t xml:space="preserve">колориметрія, турбідиметрія</w:t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Тести, які виконуються           </w:t>
              <w:tab/>
              <w:t xml:space="preserve">АЛТ, АСТ, ЛФ, ГГТ, ЛДГ, КФК, амілаза, триглі цериди, холестерин, сечова кислота, сечовина, креатинін, глюкоза, загальний білок, альбумін, білірубін, глікований гемоглобін та ін.</w:t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Довжини хвиль, нм  </w:t>
              <w:tab/>
              <w:t xml:space="preserve">340, 405, 510, 546, 578, 630</w:t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Реакційна температура          </w:t>
              <w:tab/>
              <w:t xml:space="preserve">25 °C , 30 °C , 37 °C , кімнатна температура</w:t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Кювета 32 мкл</w:t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Джерело світла          </w:t>
              <w:tab/>
              <w:t xml:space="preserve">вольфрам-галогенова лампа 10 Вт</w:t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Пам’ять          </w:t>
              <w:tab/>
              <w:t xml:space="preserve">до 3000 результатів</w:t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Підключення</w:t>
              <w:tab/>
              <w:t xml:space="preserve">RS232 або USB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Габарити (ш*г*в)       </w:t>
              <w:tab/>
              <w:t xml:space="preserve">420*350*158 мм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Вага  </w:t>
              <w:tab/>
              <w:t xml:space="preserve">7 кг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0" w:lineRule="auto"/>
              <w:jc w:val="both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Опромінювач бактерицидний із жалюзі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Джерело випромінювання: бактерицидна лампа </w:t>
            </w:r>
          </w:p>
          <w:p w:rsidR="00000000" w:rsidDel="00000000" w:rsidP="00000000" w:rsidRDefault="00000000" w:rsidRPr="00000000" w14:paraId="00000033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Довжина хвилі УФ: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253,7 нм </w:t>
            </w:r>
          </w:p>
          <w:p w:rsidR="00000000" w:rsidDel="00000000" w:rsidP="00000000" w:rsidRDefault="00000000" w:rsidRPr="00000000" w14:paraId="00000034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Напруга живлення: 220 ±10% В </w:t>
            </w:r>
          </w:p>
          <w:p w:rsidR="00000000" w:rsidDel="00000000" w:rsidP="00000000" w:rsidRDefault="00000000" w:rsidRPr="00000000" w14:paraId="00000035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Частота: 50 Гц </w:t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Споживана потужність: 28 Вт </w:t>
            </w:r>
          </w:p>
          <w:p w:rsidR="00000000" w:rsidDel="00000000" w:rsidP="00000000" w:rsidRDefault="00000000" w:rsidRPr="00000000" w14:paraId="00000037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Ресурс лампи: 9000 год </w:t>
            </w:r>
          </w:p>
          <w:p w:rsidR="00000000" w:rsidDel="00000000" w:rsidP="00000000" w:rsidRDefault="00000000" w:rsidRPr="00000000" w14:paraId="00000038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Рекомендована площа приміщення: до 25 м² </w:t>
            </w:r>
          </w:p>
          <w:p w:rsidR="00000000" w:rsidDel="00000000" w:rsidP="00000000" w:rsidRDefault="00000000" w:rsidRPr="00000000" w14:paraId="00000039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Висота установки: не менше 2,3 м від підлоги </w:t>
            </w:r>
          </w:p>
          <w:p w:rsidR="00000000" w:rsidDel="00000000" w:rsidP="00000000" w:rsidRDefault="00000000" w:rsidRPr="00000000" w14:paraId="0000003A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Габарити: довжина 500 мм, висота 130 мм, ширина 200 мм </w:t>
            </w:r>
          </w:p>
          <w:p w:rsidR="00000000" w:rsidDel="00000000" w:rsidP="00000000" w:rsidRDefault="00000000" w:rsidRPr="00000000" w14:paraId="0000003B">
            <w:pPr>
              <w:spacing w:after="28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Маса: 5 кг </w:t>
            </w:r>
          </w:p>
          <w:p w:rsidR="00000000" w:rsidDel="00000000" w:rsidP="00000000" w:rsidRDefault="00000000" w:rsidRPr="00000000" w14:paraId="0000003C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iksmdo94rri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Монітор пацієнта для добового вимірювання артеріального тиску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Тип: амбулаторний монітор добового артеріального тиску (24-годинний ABPM)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 вимірювання: осцилометричний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Діапазон вимірювання тиску: 0–290 мм рт. ст.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Діапазон вимірювання пульсу: 40–240 уд/хв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Інтервали автоматичного вимірювання: 15 / 30 / 60 / 120 / 240 хв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Одиниці виміру: мм рт. ст. / кПа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Дисплей: кольоровий LCD 2,4"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Пам’ять вимірювань (для 24 год): до 358 показань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Живлення: 2×AA; автономна робота до 48 годин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Габарити: 128 × 69 × 36 мм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Маса: близько 270 г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Інтерфейс підключення до ПК: USB, наявне ПЗ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bookmarkStart w:colFirst="0" w:colLast="0" w:name="_heading=h.649n8o6ao4sk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Пульсоксиметр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Диапазон SpO2: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35%-100%, дискретность 1%, погрешность (70%-100%) 2%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Диапазон измерений частоты пульса: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уд/мин – 250 уд/мин, дискретность 1 уд/мин, погрешность 2 уд/мин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shd w:fill="ffffff" w:val="clear"/>
              <w:rPr>
                <w:rFonts w:ascii="Arial" w:cs="Arial" w:eastAsia="Arial" w:hAnsi="Arial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Глюкометр з функцією вимірювання холестерину в крові   з тестовими полосками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Швидкість вимірювання - 10/15 сек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Об'єм краплі крові - 4/15 мкл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збережених у пам'яті вимірювань - 200/100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Терапевтичний ультразвук зі змінними частотами.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Апарат ультразвукової терапії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дисплей LCD кольоровий, 480 x 272, діагональ 10,9 см (4,3“)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Регулювання всіх параметрів терапії виконується за допомогою кнопок сенсорного екрану та/або на передній панелі пристрою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Автоматичне розпізнавання апаратом підключених аксесуарів</w:t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екран для вибору виду терапії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списку терапевтичних протоколів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енциклопедії з детальною інформацією про обраний терапевтичний протокол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ручного вводу параметрів терапії згідно з вимогами користувача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функції попереднього підігріву ультразвукового аплікатора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екран розширених параметрів терапії</w:t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індикації під час терапії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збереження власних протоколів лікування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меню для роботи з власними протоколами лікування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Перегляд останніх протоколів лікування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змінювати пароль, який апарат вимагає після включення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функції калібрування ультразвукових аплікаторів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працювати від акумулятору (опція)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Параметри ультразвукового генератору:</w:t>
            </w:r>
          </w:p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-         </w:t>
              <w:tab/>
              <w:t xml:space="preserve">Максимальна інтенсивність в постійному режимі від 0,1 до 2 Вт/см2</w:t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-         </w:t>
              <w:tab/>
              <w:t xml:space="preserve">Максимальна інтенсивність в імпульсному режимі від 0,1 до 3 Вт/см2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-         </w:t>
              <w:tab/>
              <w:t xml:space="preserve">Робоча частота 1 МГц ± 5 %  та  3,1 МГц ± 5 %</w:t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-         </w:t>
              <w:tab/>
              <w:t xml:space="preserve">Модуляція частоти від 10 Гц до 150 Гц ± 5%</w:t>
            </w:r>
          </w:p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-         </w:t>
              <w:tab/>
              <w:t xml:space="preserve">Коефіцієнт заповнення від 5% до 95% ± 5% від встановленої величини</w:t>
            </w:r>
          </w:p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-         </w:t>
              <w:tab/>
              <w:t xml:space="preserve">Коефіцієнт заповнення - встановлені значення 6,25% (1:16), 12,5% (1: 8), 25% (1: 4), 50% (1: 2), 100% (1: 1) ± 5% від встановленої величини</w:t>
            </w:r>
          </w:p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-         </w:t>
              <w:tab/>
              <w:t xml:space="preserve">Максимальна вихідна потужність 13,2 Вт ± 20 %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-         </w:t>
              <w:tab/>
              <w:t xml:space="preserve">Час ультразвукової терапії від 1 с до 30 хвилин, з кроком 1 с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ультразвукова голівка 5 см2 – 1шт.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адаптеру живлення</w:t>
            </w:r>
          </w:p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Розмір апарату 380 x 190 x 260 мм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Вага апарату не більш 3 кг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Апарат для імпульсної магнітотерапії двоканальний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Потужність  7–20 ВА (залежно від обраного типу аплікатора)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Припинення застосування  звуковий сигнал + інформація, доступна на екрані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Діапазон частот  2–72 Гц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Індукція магнітного поля 40 мТл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Імпульсна форма хвилі прямокутний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Розміри 175 × 90 × 28 мм, Вага 280 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Спирограф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Розраховує 32 параметрів: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FVC, FEV1, FEV1/ FVC, FEV1/VC, PEF, FEF25, FEF50, FEF75, FEF25–75, FEF75–85, Вік легень, Екстрап. Volume, FET, Time to PEF, FEV0.5, FEV0.5/FVC, FEV0.75, FEV0.75/ FVC, FEV2, FEV2/ FVC, FEV3, FEV3/ FVC, FEV6, FEV1/ FEV6, FIVC, FIV1, FIV1/FIVC, PIF, FIF25, FIF50, FIF75, FEF50/ FIF50, VC, IVC, IC, ERV, IRV, Rf, VE, VT, tI, tE, VT/ tI, tE/tTOT, MVV(вим.), MVV (розр.).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Тести: FVC (ФЖЕЛ), VC (ЖЕЛ), MVV (МВЛ), POST (ПОСТ тест)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Робота з ПК у реальному часі.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Виведення результатів на принтер через комп'ютер.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Автоматична інтерпретація відповідно до стандартів ATS\ERS.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Об'єм пам'яті: від 10000 тестів.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Вбудований дисплей з роздільною здатністю: 160х80 пікселів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Розміри пристрою: 160×55×25 мм.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Вага пристрою: 140 г.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Знімний датчик потоку не потребує калібрування.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 Робота від акумулятора, заряджання через USB.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Комплектація: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Spirobank II - 1шт.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Кабель USB- 1шт.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Затискач для носа- 1шт.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Сумка для перенесення - 1шт.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Інструкція користувача -1шт.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Програмне забезпеченням MIR Spiro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Комплектація турбіна одноразова з паперовим мундштуком -60 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Екранований бактерицидний опромінювач з жалюзі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Тип: екранований бактерицидний опромінювач з жалюзі (УФ-С)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Рекомендована площа приміщення: до 30 м²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Джерело УФ-С випромінювання: безозонова бактерицидна лампа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 ламп: 1 шт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Потужність бактерицидної лампи: 15 Вт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Пікова довжина хвилі УФ-С: 254 нм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Потужність УФ-С випромінювання: 4,8 Вт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Наявність вентиляторів (модель FAN): так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Електроживлення: 230 В, 50 Гц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Споживана потужність: 17 Вт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Ефективний ресурс лампи: 9000 год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Габарити (В×Ш×Г): 90 × 510 × 75 мм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Маса: 2,35 кг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Гарантія: 36 місяців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Тонометр для вимірювання тиску з дорослою манжетою механічний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ип: тонометр механічний (анероїдний) для вимірювання артеріального тиску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Комплектація: манометр анероїдний + нагнітач (груша) з клапаном скидання повітря + манжета доросла + стетоскоп (за потреби/якщо входить у комплект)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Діапазон вимірювання тиску: не менше 0–300 мм рт. ст.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Ціна поділки шкали: не більше 2 мм рт. ст.</w:t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Точність вимірювання: ±3 мм рт. ст.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Манжета: доросла, окружність плеча в межах 22–32 см (або універсальна 22–42 см)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Матеріал манжети: тканинна/нейлонова з фіксацією (липучка)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Умови експлуатації: медичний виріб для використання в закладах охорони здоров’я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Гарантія: не менше 12 місяців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Документи: декларація відповідності / інструкція українською (або мовою, визначеною законодавством)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Системи для визначення холестерину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spacing w:after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Тип: портативна система моніторингу холестерину / ліпідного профілю (кількісне визначення) </w:t>
            </w:r>
          </w:p>
          <w:p w:rsidR="00000000" w:rsidDel="00000000" w:rsidP="00000000" w:rsidRDefault="00000000" w:rsidRPr="00000000" w14:paraId="000000D9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Показники/тести: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spacing w:after="0" w:before="28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Загальний холестерин (CHOL)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ЛПВЩ (HDL)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Тригліцериди (TRIG)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"/>
              </w:numPr>
              <w:spacing w:after="280" w:before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Розрахункові: LDL, співвідношення CHOL/HDL </w:t>
            </w:r>
          </w:p>
          <w:p w:rsidR="00000000" w:rsidDel="00000000" w:rsidP="00000000" w:rsidRDefault="00000000" w:rsidRPr="00000000" w14:paraId="000000DE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Принцип вимірювання: рефлектометрична фотометрія </w:t>
            </w:r>
          </w:p>
          <w:p w:rsidR="00000000" w:rsidDel="00000000" w:rsidP="00000000" w:rsidRDefault="00000000" w:rsidRPr="00000000" w14:paraId="000000DF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 отримання результату: до 2 хвилин </w:t>
            </w:r>
          </w:p>
          <w:p w:rsidR="00000000" w:rsidDel="00000000" w:rsidP="00000000" w:rsidRDefault="00000000" w:rsidRPr="00000000" w14:paraId="000000E0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Матеріал зразка: капілярна та венозна кров, плазма, сироватка (для професійного використання) </w:t>
            </w:r>
          </w:p>
          <w:p w:rsidR="00000000" w:rsidDel="00000000" w:rsidP="00000000" w:rsidRDefault="00000000" w:rsidRPr="00000000" w14:paraId="000000E1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Об’єм зразка: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spacing w:after="0" w:before="28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3-в-1 ліпідної панелі: 35 мкл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2"/>
              </w:numPr>
              <w:spacing w:after="280" w:before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індивідуального тесту CHOL: 10 мкл </w:t>
            </w:r>
          </w:p>
          <w:p w:rsidR="00000000" w:rsidDel="00000000" w:rsidP="00000000" w:rsidRDefault="00000000" w:rsidRPr="00000000" w14:paraId="000000E4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Пам’ять приладу: до 200 результатів з датою/часом </w:t>
            </w:r>
          </w:p>
          <w:p w:rsidR="00000000" w:rsidDel="00000000" w:rsidP="00000000" w:rsidRDefault="00000000" w:rsidRPr="00000000" w14:paraId="000000E5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Передача даних: USB-порт для передачі на ПК </w:t>
            </w:r>
          </w:p>
          <w:p w:rsidR="00000000" w:rsidDel="00000000" w:rsidP="00000000" w:rsidRDefault="00000000" w:rsidRPr="00000000" w14:paraId="000000E6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Калібрування: код-чіп (Code Chip) </w:t>
            </w:r>
          </w:p>
          <w:p w:rsidR="00000000" w:rsidDel="00000000" w:rsidP="00000000" w:rsidRDefault="00000000" w:rsidRPr="00000000" w14:paraId="000000E7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Одиниці вимірювання: mg/dL або mmol/L </w:t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bookmarkStart w:colFirst="0" w:colLast="0" w:name="_heading=h.x1kktz53phq0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Офтальмоскоп портативний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Температура кольору: 5000 К Діапазон лінз: 27 лінз від -35 до +40 діоптрій 5 апертур: щілина, «без червоного» фільтр, фіксаційна зірка з лінійкою, велике коло, мале коло На вибір фиксационная зірка або кобальтовий синій фільтр для дослідження рогівки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Підпис ________________________                                                                                                    Печатка _________________________________</w:t>
        <w:br w:type="textWrapping"/>
        <w:br w:type="textWrapping"/>
      </w:r>
    </w:p>
    <w:p w:rsidR="00000000" w:rsidDel="00000000" w:rsidP="00000000" w:rsidRDefault="00000000" w:rsidRPr="00000000" w14:paraId="000000EF">
      <w:pPr>
        <w:shd w:fill="ffffff" w:val="clear"/>
        <w:spacing w:after="0" w:line="240" w:lineRule="auto"/>
        <w:ind w:left="720" w:right="56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ffffff" w:val="clear"/>
        <w:spacing w:after="280" w:line="240" w:lineRule="auto"/>
        <w:ind w:left="-20" w:righ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rmal (Web)"/>
    <w:uiPriority w:val="99"/>
    <w:semiHidden w:val="1"/>
    <w:unhideWhenUsed w:val="1"/>
    <w:rsid w:val="003328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a0"/>
    <w:rsid w:val="003328BC"/>
  </w:style>
  <w:style w:type="table" w:styleId="a5">
    <w:name w:val="Table Grid"/>
    <w:basedOn w:val="a1"/>
    <w:uiPriority w:val="39"/>
    <w:rsid w:val="004D7D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ody Text"/>
    <w:link w:val="a7"/>
    <w:uiPriority w:val="1"/>
    <w:semiHidden w:val="1"/>
    <w:unhideWhenUsed w:val="1"/>
    <w:qFormat w:val="1"/>
    <w:rsid w:val="009B27F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a7" w:customStyle="1">
    <w:name w:val="Основной текст Знак"/>
    <w:basedOn w:val="a0"/>
    <w:link w:val="a6"/>
    <w:uiPriority w:val="1"/>
    <w:semiHidden w:val="1"/>
    <w:rsid w:val="009B27F2"/>
    <w:rPr>
      <w:rFonts w:ascii="Times New Roman" w:cs="Times New Roman" w:eastAsia="Times New Roman" w:hAnsi="Times New Roman"/>
      <w:sz w:val="20"/>
      <w:szCs w:val="20"/>
    </w:rPr>
  </w:style>
  <w:style w:type="paragraph" w:styleId="a8">
    <w:name w:val="Balloon Text"/>
    <w:link w:val="a9"/>
    <w:uiPriority w:val="99"/>
    <w:semiHidden w:val="1"/>
    <w:unhideWhenUsed w:val="1"/>
    <w:rsid w:val="00120E4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120E41"/>
    <w:rPr>
      <w:rFonts w:ascii="Segoe UI" w:cs="Segoe UI" w:hAnsi="Segoe UI"/>
      <w:sz w:val="18"/>
      <w:szCs w:val="18"/>
    </w:r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b">
    <w:name w:val="List Paragraph"/>
    <w:uiPriority w:val="34"/>
    <w:qFormat w:val="1"/>
    <w:rsid w:val="008C1E32"/>
    <w:pPr>
      <w:ind w:left="720"/>
      <w:contextualSpacing w:val="1"/>
    </w:pPr>
  </w:style>
  <w:style w:type="character" w:styleId="ac">
    <w:name w:val="Strong"/>
    <w:basedOn w:val="a0"/>
    <w:uiPriority w:val="22"/>
    <w:qFormat w:val="1"/>
    <w:rsid w:val="001A3FD7"/>
    <w:rPr>
      <w:b w:val="1"/>
      <w:bCs w:val="1"/>
    </w:r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VOwmDevMaKyDS1z42Oxq5SGO5w==">CgMxLjAyDmgubWlrc21kbzk0cnJpMg5oLjY0OW44bzZhbzRzazIOaC54MWtrdHo1M3BocTA4AHIhMTNDeFg3c0lkU040YjNWT0JYeUR5d2hKOVd2YXRKYnV3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Lenovo</dc:creator>
</cp:coreProperties>
</file>