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tabs>
          <w:tab w:val="left" w:leader="none" w:pos="540"/>
          <w:tab w:val="left" w:leader="none" w:pos="540"/>
        </w:tabs>
        <w:ind w:lef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UMOWA O POWIERZENIE GRANTU NR </w:t>
      </w:r>
      <w:r w:rsidDel="00000000" w:rsidR="00000000" w:rsidRPr="00000000">
        <w:rPr>
          <w:rFonts w:ascii="Calibri" w:cs="Calibri" w:eastAsia="Calibri" w:hAnsi="Calibri"/>
          <w:sz w:val="28"/>
          <w:szCs w:val="28"/>
          <w:highlight w:val="yellow"/>
          <w:rtl w:val="0"/>
        </w:rPr>
        <w:t xml:space="preserve">……………</w:t>
      </w:r>
      <w:r w:rsidDel="00000000" w:rsidR="00000000" w:rsidRPr="00000000">
        <w:rPr>
          <w:rFonts w:ascii="Calibri" w:cs="Calibri" w:eastAsia="Calibri" w:hAnsi="Calibri"/>
          <w:sz w:val="28"/>
          <w:szCs w:val="28"/>
          <w:rtl w:val="0"/>
        </w:rPr>
        <w:br w:type="textWrapping"/>
        <w:t xml:space="preserve">W RAMACH KRAJOWEGO PLANU ODBUDOWY I ZWIĘKSZANIA ODPORNOŚCI</w:t>
      </w:r>
    </w:p>
    <w:p w:rsidR="00000000" w:rsidDel="00000000" w:rsidP="00000000" w:rsidRDefault="00000000" w:rsidRPr="00000000" w14:paraId="00000002">
      <w:pPr>
        <w:pStyle w:val="Title"/>
        <w:spacing w:before="120" w:line="36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Komponent C: Transformacja cyfrowa </w:t>
      </w:r>
    </w:p>
    <w:p w:rsidR="00000000" w:rsidDel="00000000" w:rsidP="00000000" w:rsidRDefault="00000000" w:rsidRPr="00000000" w14:paraId="00000003">
      <w:pPr>
        <w:pStyle w:val="Title"/>
        <w:spacing w:after="6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Reforma: C2.1: Zwiększenie skali zastosowań rozwiązań cyfrowych w sferze publicznej, gospodarce i społeczeństwie</w:t>
      </w:r>
    </w:p>
    <w:p w:rsidR="00000000" w:rsidDel="00000000" w:rsidP="00000000" w:rsidRDefault="00000000" w:rsidRPr="00000000" w14:paraId="00000004">
      <w:pPr>
        <w:pStyle w:val="Title"/>
        <w:spacing w:after="36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Inwestycja C2.1.3: E-kompetencje</w:t>
      </w:r>
    </w:p>
    <w:p w:rsidR="00000000" w:rsidDel="00000000" w:rsidP="00000000" w:rsidRDefault="00000000" w:rsidRPr="00000000" w14:paraId="00000005">
      <w:pPr>
        <w:pStyle w:val="Title"/>
        <w:spacing w:before="240" w:lineRule="auto"/>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zwana dalej „Umową”</w:t>
      </w:r>
    </w:p>
    <w:p w:rsidR="00000000" w:rsidDel="00000000" w:rsidP="00000000" w:rsidRDefault="00000000" w:rsidRPr="00000000" w14:paraId="00000006">
      <w:pPr>
        <w:pStyle w:val="Subtitle"/>
        <w:tabs>
          <w:tab w:val="left" w:leader="none" w:pos="1080"/>
          <w:tab w:val="left" w:leader="none" w:pos="1080"/>
        </w:tabs>
        <w:ind w:left="0" w:firstLine="0"/>
        <w:jc w:val="left"/>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Zawarta w dniu podpisu przez ostatnią ze Stron pomiędzy:</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900"/>
        </w:tabs>
        <w:spacing w:after="0" w:line="360" w:lineRule="auto"/>
        <w:jc w:val="both"/>
        <w:rPr>
          <w:color w:val="000000"/>
          <w:sz w:val="24"/>
          <w:szCs w:val="24"/>
        </w:rPr>
      </w:pPr>
      <w:r w:rsidDel="00000000" w:rsidR="00000000" w:rsidRPr="00000000">
        <w:rPr>
          <w:b w:val="1"/>
          <w:bCs w:val="1"/>
          <w:sz w:val="24"/>
          <w:szCs w:val="24"/>
          <w:rtl w:val="0"/>
        </w:rPr>
        <w:t xml:space="preserve">Stowarzyszeniem ROBISZ TO</w:t>
      </w:r>
      <w:r w:rsidDel="00000000" w:rsidR="00000000" w:rsidRPr="00000000">
        <w:rPr>
          <w:sz w:val="24"/>
          <w:szCs w:val="24"/>
          <w:rtl w:val="0"/>
        </w:rPr>
        <w:t xml:space="preserve"> z siedzibą w Warszawie (03-733) przy ul. Targowej 56, NIP 5833215460, REGON 365435123, wpisanym do rejestru stowarzyszeń, innych organizacji społecznych i zawodowych, fundacji oraz samodzielnych publicznych zakładów opieki zdrowotnej prowadzonego przez Sąd Rejonowy dla m.st. Warszawy, XIV Wydział Gospodarczy Krajowego Rejestru Sądowego pod nr: 0000637354</w:t>
      </w:r>
      <w:r w:rsidDel="00000000" w:rsidR="00000000" w:rsidRPr="00000000">
        <w:rPr>
          <w:color w:val="000000"/>
          <w:sz w:val="24"/>
          <w:szCs w:val="24"/>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zwaną/-ym dalej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„Ostatecznym Odbiorcą Wsparcia”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reprezentowanym przez:  </w:t>
      </w:r>
    </w:p>
    <w:p w:rsidR="00000000" w:rsidDel="00000000" w:rsidP="00000000" w:rsidRDefault="00000000" w:rsidRPr="00000000" w14:paraId="0000000B">
      <w:pPr>
        <w:spacing w:after="60" w:lineRule="auto"/>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Maciej Naskręt – Członek Zarządu/Daria Maciejewicz - Pełnomocnik</w:t>
      </w:r>
    </w:p>
    <w:p w:rsidR="00000000" w:rsidDel="00000000" w:rsidP="00000000" w:rsidRDefault="00000000" w:rsidRPr="00000000" w14:paraId="0000000C">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(dokumenty potwierdzające umocowanie przedstawiciela Ostatecznego Odbiorcy Wsparcia stanowią Załącznik nr 1 do Umowy)</w:t>
      </w:r>
    </w:p>
    <w:p w:rsidR="00000000" w:rsidDel="00000000" w:rsidP="00000000" w:rsidRDefault="00000000" w:rsidRPr="00000000" w14:paraId="0000000D">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w:t>
      </w:r>
    </w:p>
    <w:p w:rsidR="00000000" w:rsidDel="00000000" w:rsidP="00000000" w:rsidRDefault="00000000" w:rsidRPr="00000000" w14:paraId="0000000E">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highlight w:val="yellow"/>
          <w:rtl w:val="0"/>
        </w:rPr>
        <w:t xml:space="preserve">……………………………………………………………………………………………………………………………………………….,</w:t>
      </w:r>
      <w:r w:rsidDel="00000000" w:rsidR="00000000" w:rsidRPr="00000000">
        <w:rPr>
          <w:rFonts w:ascii="Calibri" w:cs="Calibri" w:eastAsia="Calibri" w:hAnsi="Calibri"/>
          <w:sz w:val="24"/>
          <w:szCs w:val="24"/>
          <w:rtl w:val="0"/>
        </w:rPr>
        <w:t xml:space="preserve"> </w:t>
      </w:r>
      <w:r w:rsidDel="00000000" w:rsidR="00000000" w:rsidRPr="00000000">
        <w:rPr>
          <w:sz w:val="24"/>
          <w:szCs w:val="24"/>
          <w:rtl w:val="0"/>
        </w:rPr>
        <w:t xml:space="preserve">działającym/ą jako organ prowadzący dla placówki/ek: </w:t>
      </w:r>
      <w:r w:rsidDel="00000000" w:rsidR="00000000" w:rsidRPr="00000000">
        <w:rPr>
          <w:sz w:val="24"/>
          <w:szCs w:val="24"/>
          <w:highlight w:val="yellow"/>
          <w:rtl w:val="0"/>
        </w:rPr>
        <w:t xml:space="preserve">…………………………………………………………</w:t>
      </w:r>
      <w:r w:rsidDel="00000000" w:rsidR="00000000" w:rsidRPr="00000000">
        <w:rPr>
          <w:rFonts w:ascii="Calibri" w:cs="Calibri" w:eastAsia="Calibri" w:hAnsi="Calibri"/>
          <w:sz w:val="24"/>
          <w:szCs w:val="24"/>
          <w:rtl w:val="0"/>
        </w:rPr>
        <w:t xml:space="preserve">  [nazwa i REGON placówki]                               </w:t>
      </w:r>
    </w:p>
    <w:p w:rsidR="00000000" w:rsidDel="00000000" w:rsidP="00000000" w:rsidRDefault="00000000" w:rsidRPr="00000000" w14:paraId="0000000F">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zwaną/-ym dalej </w:t>
      </w:r>
      <w:r w:rsidDel="00000000" w:rsidR="00000000" w:rsidRPr="00000000">
        <w:rPr>
          <w:rFonts w:ascii="Calibri" w:cs="Calibri" w:eastAsia="Calibri" w:hAnsi="Calibri"/>
          <w:b w:val="1"/>
          <w:bCs w:val="1"/>
          <w:sz w:val="24"/>
          <w:szCs w:val="24"/>
          <w:rtl w:val="0"/>
        </w:rPr>
        <w:t xml:space="preserve">„Grantobiorcą”,</w:t>
      </w:r>
      <w:r w:rsidDel="00000000" w:rsidR="00000000" w:rsidRPr="00000000">
        <w:rPr>
          <w:rtl w:val="0"/>
        </w:rPr>
      </w:r>
    </w:p>
    <w:p w:rsidR="00000000" w:rsidDel="00000000" w:rsidP="00000000" w:rsidRDefault="00000000" w:rsidRPr="00000000" w14:paraId="00000010">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reprezentowanym przez:</w:t>
      </w:r>
    </w:p>
    <w:p w:rsidR="00000000" w:rsidDel="00000000" w:rsidP="00000000" w:rsidRDefault="00000000" w:rsidRPr="00000000" w14:paraId="00000011">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highlight w:val="yellow"/>
          <w:rtl w:val="0"/>
        </w:rPr>
        <w:t xml:space="preserv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2">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(dokumenty potwierdzające umocowanie przedstawiciela Grantobiorcy stanowią Załącznik nr 2 do Umowy),</w:t>
      </w:r>
    </w:p>
    <w:p w:rsidR="00000000" w:rsidDel="00000000" w:rsidP="00000000" w:rsidRDefault="00000000" w:rsidRPr="00000000" w14:paraId="00000013">
      <w:pPr>
        <w:spacing w:after="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zwanymi dalej łącznie </w:t>
      </w:r>
      <w:r w:rsidDel="00000000" w:rsidR="00000000" w:rsidRPr="00000000">
        <w:rPr>
          <w:rFonts w:ascii="Calibri" w:cs="Calibri" w:eastAsia="Calibri" w:hAnsi="Calibri"/>
          <w:b w:val="1"/>
          <w:bCs w:val="1"/>
          <w:sz w:val="24"/>
          <w:szCs w:val="24"/>
          <w:rtl w:val="0"/>
        </w:rPr>
        <w:t xml:space="preserve">„Stronami”,</w:t>
      </w:r>
      <w:r w:rsidDel="00000000" w:rsidR="00000000" w:rsidRPr="00000000">
        <w:rPr>
          <w:rtl w:val="0"/>
        </w:rPr>
      </w:r>
    </w:p>
    <w:p w:rsidR="00000000" w:rsidDel="00000000" w:rsidP="00000000" w:rsidRDefault="00000000" w:rsidRPr="00000000" w14:paraId="00000014">
      <w:pPr>
        <w:spacing w:after="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następującej treści:</w:t>
      </w:r>
    </w:p>
    <w:p w:rsidR="00000000" w:rsidDel="00000000" w:rsidP="00000000" w:rsidRDefault="00000000" w:rsidRPr="00000000" w14:paraId="00000015">
      <w:pPr>
        <w:pStyle w:val="Heading2"/>
        <w:rPr/>
      </w:pPr>
      <w:r w:rsidDel="00000000" w:rsidR="00000000" w:rsidRPr="00000000">
        <w:rPr>
          <w:rtl w:val="0"/>
        </w:rPr>
        <w:t xml:space="preserve">§ 1.Definicje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Ilekroć w umowie jest mowa o:</w:t>
      </w:r>
    </w:p>
    <w:p w:rsidR="00000000" w:rsidDel="00000000" w:rsidP="00000000" w:rsidRDefault="00000000" w:rsidRPr="00000000" w14:paraId="00000017">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„danych osobowych”</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Dz. Urz. UE L 127 z 23.05.2018, str. 2 oraz Dz. Urz. UE L 74 z 4.03.2021 str.35);</w:t>
      </w:r>
    </w:p>
    <w:p w:rsidR="00000000" w:rsidDel="00000000" w:rsidP="00000000" w:rsidRDefault="00000000" w:rsidRPr="00000000" w14:paraId="00000018">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grancie”</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to środki finansowe,</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których wysokość została określona w Koncepcji realizacji Przedsięwzięcia stanowiącej załącznik do Regulaminu , przekazywane Grantobiorcy przez Ostatecznego Odbiorcę Wsparcia na zakup cyfrowych materiałów dydaktycznych z przeznaczeniem dla Placówek dydaktycznych;</w:t>
      </w:r>
    </w:p>
    <w:p w:rsidR="00000000" w:rsidDel="00000000" w:rsidP="00000000" w:rsidRDefault="00000000" w:rsidRPr="00000000" w14:paraId="00000019">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„Grantobiorcy”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podmiot będący organem prowadzącym daną placówkę dydaktyczną lub dyrektor placówki dydaktycznej samodzielnie, o ile posiada stosowne umocowanie; </w:t>
      </w:r>
      <w:r w:rsidDel="00000000" w:rsidR="00000000" w:rsidRPr="00000000">
        <w:rPr>
          <w:rtl w:val="0"/>
        </w:rPr>
      </w:r>
    </w:p>
    <w:p w:rsidR="00000000" w:rsidDel="00000000" w:rsidP="00000000" w:rsidRDefault="00000000" w:rsidRPr="00000000" w14:paraId="0000001A">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„Placówce dydaktycznej”</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szkołę lub przedszkole publiczne lub niepubliczne, otrzymujące dotację oświatową na podstawie ustawy z dnia 27 października 2017 r. o finansowaniu zadań oświatowych,  (Dz.U. z 2024 r. poz. 754), którego organ prowadzący zawnioskował do OOW o wypłatę grantu i spełnione zostały warunki określone w Koncepcji realizacji Przedsięwzięcia stanowiącej załącznik do Regulaminu oraz w Umowie; </w:t>
      </w:r>
    </w:p>
    <w:p w:rsidR="00000000" w:rsidDel="00000000" w:rsidP="00000000" w:rsidRDefault="00000000" w:rsidRPr="00000000" w14:paraId="0000001B">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„Cyfrowych materiałów dydaktycznych” </w:t>
      </w:r>
      <w:r w:rsidDel="00000000" w:rsidR="00000000" w:rsidRPr="00000000">
        <w:rPr>
          <w:rFonts w:ascii="Calibri" w:cs="Calibri" w:eastAsia="Calibri" w:hAnsi="Calibri"/>
          <w:sz w:val="24"/>
          <w:szCs w:val="24"/>
          <w:rtl w:val="0"/>
        </w:rPr>
        <w:t xml:space="preserve">-</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oznacza to cyfrowe materiały dydaktyczne wskazane w Katalogu cyfrowych materiałów dydaktycznych zawartym w Koncepcji realizacji Przedsięwzięcia stanowiącej załącznik do Regulaminu, bądź opracowane przez OOW i zatwierdzone przez Jednostkę Wspierającą;</w:t>
      </w:r>
    </w:p>
    <w:p w:rsidR="00000000" w:rsidDel="00000000" w:rsidP="00000000" w:rsidRDefault="00000000" w:rsidRPr="00000000" w14:paraId="0000001C">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„Ostatecznym Odbiorcy Wsparcia”</w:t>
      </w:r>
      <w:r w:rsidDel="00000000" w:rsidR="00000000" w:rsidRPr="00000000">
        <w:rPr>
          <w:b w:val="1"/>
          <w:bCs w:val="1"/>
          <w:rtl w:val="0"/>
        </w:rPr>
        <w:t xml:space="preserve"> </w:t>
      </w:r>
      <w:r w:rsidDel="00000000" w:rsidR="00000000" w:rsidRPr="00000000">
        <w:rPr>
          <w:rFonts w:ascii="Calibri" w:cs="Calibri" w:eastAsia="Calibri" w:hAnsi="Calibri"/>
          <w:sz w:val="24"/>
          <w:szCs w:val="24"/>
          <w:rtl w:val="0"/>
        </w:rPr>
        <w:t xml:space="preserve">lub</w:t>
      </w:r>
      <w:r w:rsidDel="00000000" w:rsidR="00000000" w:rsidRPr="00000000">
        <w:rPr>
          <w:rFonts w:ascii="Calibri" w:cs="Calibri" w:eastAsia="Calibri" w:hAnsi="Calibri"/>
          <w:b w:val="1"/>
          <w:bCs w:val="1"/>
          <w:sz w:val="24"/>
          <w:szCs w:val="24"/>
          <w:rtl w:val="0"/>
        </w:rPr>
        <w:t xml:space="preserve"> „OOW”</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to podmiot realizujący Przedsięwzięcie;</w:t>
      </w:r>
    </w:p>
    <w:p w:rsidR="00000000" w:rsidDel="00000000" w:rsidP="00000000" w:rsidRDefault="00000000" w:rsidRPr="00000000" w14:paraId="0000001D">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„Instrumencie na rzecz Odbudowy i Rozwoju”</w:t>
      </w:r>
      <w:r w:rsidDel="00000000" w:rsidR="00000000" w:rsidRPr="00000000">
        <w:rPr>
          <w:rFonts w:ascii="Calibri" w:cs="Calibri" w:eastAsia="Calibri" w:hAnsi="Calibri"/>
          <w:sz w:val="24"/>
          <w:szCs w:val="24"/>
          <w:rtl w:val="0"/>
        </w:rPr>
        <w:t xml:space="preserve"> lub </w:t>
      </w:r>
      <w:r w:rsidDel="00000000" w:rsidR="00000000" w:rsidRPr="00000000">
        <w:rPr>
          <w:rFonts w:ascii="Calibri" w:cs="Calibri" w:eastAsia="Calibri" w:hAnsi="Calibri"/>
          <w:b w:val="1"/>
          <w:bCs w:val="1"/>
          <w:sz w:val="24"/>
          <w:szCs w:val="24"/>
          <w:rtl w:val="0"/>
        </w:rPr>
        <w:t xml:space="preserve">„RRF”</w:t>
      </w:r>
      <w:r w:rsidDel="00000000" w:rsidR="00000000" w:rsidRPr="00000000">
        <w:rPr>
          <w:rFonts w:ascii="Calibri" w:cs="Calibri" w:eastAsia="Calibri" w:hAnsi="Calibri"/>
          <w:sz w:val="24"/>
          <w:szCs w:val="24"/>
          <w:rtl w:val="0"/>
        </w:rPr>
        <w:t xml:space="preserve"> – oznacza to Instrument ustanowiony na mocy rozporządzenia Parlamentu Europejskiego i Rady (UE) 2021/241 z dnia 12 lutego 2021 r. (Dz. Urz. UE L 57 z 18.02.2021, s. 17); </w:t>
      </w:r>
      <w:r w:rsidDel="00000000" w:rsidR="00000000" w:rsidRPr="00000000">
        <w:rPr>
          <w:rFonts w:ascii="Calibri" w:cs="Calibri" w:eastAsia="Calibri" w:hAnsi="Calibri"/>
          <w:i w:val="1"/>
          <w:iCs w:val="1"/>
          <w:sz w:val="24"/>
          <w:szCs w:val="24"/>
          <w:rtl w:val="0"/>
        </w:rPr>
        <w:t xml:space="preserve"> </w:t>
      </w:r>
      <w:r w:rsidDel="00000000" w:rsidR="00000000" w:rsidRPr="00000000">
        <w:rPr>
          <w:rtl w:val="0"/>
        </w:rPr>
      </w:r>
    </w:p>
    <w:p w:rsidR="00000000" w:rsidDel="00000000" w:rsidP="00000000" w:rsidRDefault="00000000" w:rsidRPr="00000000" w14:paraId="0000001E">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„Instytucji koordynującej KPO”</w:t>
      </w:r>
      <w:r w:rsidDel="00000000" w:rsidR="00000000" w:rsidRPr="00000000">
        <w:rPr>
          <w:rFonts w:ascii="Calibri" w:cs="Calibri" w:eastAsia="Calibri" w:hAnsi="Calibri"/>
          <w:sz w:val="24"/>
          <w:szCs w:val="24"/>
          <w:rtl w:val="0"/>
        </w:rPr>
        <w:t xml:space="preserve"> – oznacza to instytucję, która odpowiada za koordynację KPO. Za koordynację realizacji KPO odpowiada minister właściwy do spraw rozwoju regionalnego;</w:t>
      </w:r>
    </w:p>
    <w:p w:rsidR="00000000" w:rsidDel="00000000" w:rsidP="00000000" w:rsidRDefault="00000000" w:rsidRPr="00000000" w14:paraId="0000001F">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„Instytucji odpowiedzialnej za realizację inwestycji”</w:t>
      </w:r>
      <w:r w:rsidDel="00000000" w:rsidR="00000000" w:rsidRPr="00000000">
        <w:rPr>
          <w:rFonts w:ascii="Calibri" w:cs="Calibri" w:eastAsia="Calibri" w:hAnsi="Calibri"/>
          <w:sz w:val="24"/>
          <w:szCs w:val="24"/>
          <w:rtl w:val="0"/>
        </w:rPr>
        <w:t xml:space="preserve"> – oznacza to ministra kierującego działem administracji rządowej, któremu zgodnie z Planem rozwojowym, zostało powierzone zadanie realizacji Inwestycji, tj. Minister Cyfryzacji </w:t>
      </w:r>
    </w:p>
    <w:p w:rsidR="00000000" w:rsidDel="00000000" w:rsidP="00000000" w:rsidRDefault="00000000" w:rsidRPr="00000000" w14:paraId="00000020">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„Inwestycji”</w:t>
      </w:r>
      <w:r w:rsidDel="00000000" w:rsidR="00000000" w:rsidRPr="00000000">
        <w:rPr>
          <w:rFonts w:ascii="Calibri" w:cs="Calibri" w:eastAsia="Calibri" w:hAnsi="Calibri"/>
          <w:sz w:val="24"/>
          <w:szCs w:val="24"/>
          <w:rtl w:val="0"/>
        </w:rPr>
        <w:t xml:space="preserve"> – oznacza to inwestycję w rozumieniu Rozporządzenia Parlamentu Europejskiego i Rady (UE) 2021/241 z dnia 12 lutego 2021 r. ustanawiającego Instrument na rzecz Odbudowy i Zwiększania Odporności zmierzającą do osiągnięcia celu w Planie rozwojowym; </w:t>
      </w:r>
      <w:r w:rsidDel="00000000" w:rsidR="00000000" w:rsidRPr="00000000">
        <w:rPr>
          <w:rFonts w:ascii="Calibri" w:cs="Calibri" w:eastAsia="Calibri" w:hAnsi="Calibri"/>
          <w:color w:val="ff0000"/>
          <w:sz w:val="24"/>
          <w:szCs w:val="24"/>
          <w:rtl w:val="0"/>
        </w:rPr>
        <w:t xml:space="preserve"> </w:t>
      </w:r>
      <w:r w:rsidDel="00000000" w:rsidR="00000000" w:rsidRPr="00000000">
        <w:rPr>
          <w:rtl w:val="0"/>
        </w:rPr>
      </w:r>
    </w:p>
    <w:p w:rsidR="00000000" w:rsidDel="00000000" w:rsidP="00000000" w:rsidRDefault="00000000" w:rsidRPr="00000000" w14:paraId="00000021">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„korekcie finansowej”</w:t>
      </w:r>
      <w:r w:rsidDel="00000000" w:rsidR="00000000" w:rsidRPr="00000000">
        <w:rPr>
          <w:rFonts w:ascii="Calibri" w:cs="Calibri" w:eastAsia="Calibri" w:hAnsi="Calibri"/>
          <w:sz w:val="24"/>
          <w:szCs w:val="24"/>
          <w:rtl w:val="0"/>
        </w:rPr>
        <w:t xml:space="preserve"> – oznacza to kwotę, o jaką pomniejsza się kwotę wsparcia Projektu w związku z wystąpieniem nieprawidłowości;</w:t>
      </w:r>
    </w:p>
    <w:p w:rsidR="00000000" w:rsidDel="00000000" w:rsidP="00000000" w:rsidRDefault="00000000" w:rsidRPr="00000000" w14:paraId="00000022">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„nadużyciu finansowym”</w:t>
      </w:r>
      <w:r w:rsidDel="00000000" w:rsidR="00000000" w:rsidRPr="00000000">
        <w:rPr>
          <w:rFonts w:ascii="Calibri" w:cs="Calibri" w:eastAsia="Calibri" w:hAnsi="Calibri"/>
          <w:sz w:val="24"/>
          <w:szCs w:val="24"/>
          <w:rtl w:val="0"/>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rsidR="00000000" w:rsidDel="00000000" w:rsidP="00000000" w:rsidRDefault="00000000" w:rsidRPr="00000000" w14:paraId="00000023">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„nieprawidłowości”</w:t>
      </w:r>
      <w:r w:rsidDel="00000000" w:rsidR="00000000" w:rsidRPr="00000000">
        <w:rPr>
          <w:rFonts w:ascii="Calibri" w:cs="Calibri" w:eastAsia="Calibri" w:hAnsi="Calibri"/>
          <w:sz w:val="24"/>
          <w:szCs w:val="24"/>
          <w:rtl w:val="0"/>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rsidR="00000000" w:rsidDel="00000000" w:rsidP="00000000" w:rsidRDefault="00000000" w:rsidRPr="00000000" w14:paraId="00000024">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„okresie kwalifikowalności wydatków”</w:t>
      </w:r>
      <w:r w:rsidDel="00000000" w:rsidR="00000000" w:rsidRPr="00000000">
        <w:rPr>
          <w:rFonts w:ascii="Calibri" w:cs="Calibri" w:eastAsia="Calibri" w:hAnsi="Calibri"/>
          <w:sz w:val="24"/>
          <w:szCs w:val="24"/>
          <w:rtl w:val="0"/>
        </w:rPr>
        <w:t xml:space="preserve"> – należy przez to rozumieć okres, w którym mogą być ponoszone wydatki kwalifikowane w ramach Umowy o powierzenie grantu;</w:t>
      </w:r>
    </w:p>
    <w:p w:rsidR="00000000" w:rsidDel="00000000" w:rsidP="00000000" w:rsidRDefault="00000000" w:rsidRPr="00000000" w14:paraId="00000025">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„PFR”</w:t>
      </w:r>
      <w:r w:rsidDel="00000000" w:rsidR="00000000" w:rsidRPr="00000000">
        <w:rPr>
          <w:rFonts w:ascii="Calibri" w:cs="Calibri" w:eastAsia="Calibri" w:hAnsi="Calibri"/>
          <w:sz w:val="24"/>
          <w:szCs w:val="24"/>
          <w:rtl w:val="0"/>
        </w:rPr>
        <w:t xml:space="preserve"> – oznacza to Polski Fundusz Rozwoju Spółka Akcyjna z siedzibą w Warszawie; </w:t>
      </w:r>
    </w:p>
    <w:p w:rsidR="00000000" w:rsidDel="00000000" w:rsidP="00000000" w:rsidRDefault="00000000" w:rsidRPr="00000000" w14:paraId="00000026">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„Planie rozwojowym”</w:t>
      </w:r>
      <w:r w:rsidDel="00000000" w:rsidR="00000000" w:rsidRPr="00000000">
        <w:rPr>
          <w:rFonts w:ascii="Calibri" w:cs="Calibri" w:eastAsia="Calibri" w:hAnsi="Calibri"/>
          <w:sz w:val="24"/>
          <w:szCs w:val="24"/>
          <w:rtl w:val="0"/>
        </w:rPr>
        <w:t xml:space="preserve"> lub </w:t>
      </w:r>
      <w:r w:rsidDel="00000000" w:rsidR="00000000" w:rsidRPr="00000000">
        <w:rPr>
          <w:rFonts w:ascii="Calibri" w:cs="Calibri" w:eastAsia="Calibri" w:hAnsi="Calibri"/>
          <w:b w:val="1"/>
          <w:bCs w:val="1"/>
          <w:sz w:val="24"/>
          <w:szCs w:val="24"/>
          <w:rtl w:val="0"/>
        </w:rPr>
        <w:t xml:space="preserve">„KPO”</w:t>
      </w:r>
      <w:r w:rsidDel="00000000" w:rsidR="00000000" w:rsidRPr="00000000">
        <w:rPr>
          <w:rFonts w:ascii="Calibri" w:cs="Calibri" w:eastAsia="Calibri" w:hAnsi="Calibri"/>
          <w:sz w:val="24"/>
          <w:szCs w:val="24"/>
          <w:rtl w:val="0"/>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rsidR="00000000" w:rsidDel="00000000" w:rsidP="00000000" w:rsidRDefault="00000000" w:rsidRPr="00000000" w14:paraId="00000027">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„Portalu Funduszy Europejskich”</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 oznacza to stronę internetową pod adresem: </w:t>
      </w:r>
      <w:hyperlink r:id="rId8">
        <w:r w:rsidDel="00000000" w:rsidR="00000000" w:rsidRPr="00000000">
          <w:rPr>
            <w:rFonts w:ascii="Calibri" w:cs="Calibri" w:eastAsia="Calibri" w:hAnsi="Calibri"/>
            <w:color w:val="0000ff"/>
            <w:sz w:val="24"/>
            <w:szCs w:val="24"/>
            <w:u w:val="single"/>
            <w:rtl w:val="0"/>
          </w:rPr>
          <w:t xml:space="preserve">www.funduszeeuropejskie.gov.pl</w:t>
        </w:r>
      </w:hyperlink>
      <w:r w:rsidDel="00000000" w:rsidR="00000000" w:rsidRPr="00000000">
        <w:rPr>
          <w:rFonts w:ascii="Calibri" w:cs="Calibri" w:eastAsia="Calibri" w:hAnsi="Calibri"/>
          <w:i w:val="1"/>
          <w:iCs w:val="1"/>
          <w:sz w:val="24"/>
          <w:szCs w:val="24"/>
          <w:rtl w:val="0"/>
        </w:rPr>
        <w:t xml:space="preserve">;</w:t>
      </w:r>
      <w:r w:rsidDel="00000000" w:rsidR="00000000" w:rsidRPr="00000000">
        <w:rPr>
          <w:rtl w:val="0"/>
        </w:rPr>
      </w:r>
    </w:p>
    <w:p w:rsidR="00000000" w:rsidDel="00000000" w:rsidP="00000000" w:rsidRDefault="00000000" w:rsidRPr="00000000" w14:paraId="00000028">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„Poważnej nieprawidłowości”</w:t>
      </w:r>
      <w:r w:rsidDel="00000000" w:rsidR="00000000" w:rsidRPr="00000000">
        <w:rPr>
          <w:rFonts w:ascii="Calibri" w:cs="Calibri" w:eastAsia="Calibri" w:hAnsi="Calibri"/>
          <w:sz w:val="24"/>
          <w:szCs w:val="24"/>
          <w:rtl w:val="0"/>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rsidR="00000000" w:rsidDel="00000000" w:rsidP="00000000" w:rsidRDefault="00000000" w:rsidRPr="00000000" w14:paraId="00000029">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„Projekcie”</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to realizację działań zaplanowanych we wniosku o grant polegających na zakupie cyfrowych materiałów dydaktycznych;</w:t>
      </w:r>
    </w:p>
    <w:p w:rsidR="00000000" w:rsidDel="00000000" w:rsidP="00000000" w:rsidRDefault="00000000" w:rsidRPr="00000000" w14:paraId="0000002A">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„Przedsięwzięciu”</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to element Inwestycji C 2.1.3 realizowany przez Ostatecznego Odbiorcę Wsparcia; </w:t>
      </w:r>
    </w:p>
    <w:p w:rsidR="00000000" w:rsidDel="00000000" w:rsidP="00000000" w:rsidRDefault="00000000" w:rsidRPr="00000000" w14:paraId="0000002B">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„Regulaminie”</w:t>
      </w:r>
      <w:r w:rsidDel="00000000" w:rsidR="00000000" w:rsidRPr="00000000">
        <w:rPr>
          <w:rFonts w:ascii="Calibri" w:cs="Calibri" w:eastAsia="Calibri" w:hAnsi="Calibri"/>
          <w:sz w:val="24"/>
          <w:szCs w:val="24"/>
          <w:rtl w:val="0"/>
        </w:rPr>
        <w:t xml:space="preserve"> – oznacza to regulamin wyboru przedsięwzięć do objęcia wsparciem z planu rozwojowego , nabór nr KPOD.05.08-IW.06-006/25;</w:t>
      </w:r>
    </w:p>
    <w:p w:rsidR="00000000" w:rsidDel="00000000" w:rsidP="00000000" w:rsidRDefault="00000000" w:rsidRPr="00000000" w14:paraId="0000002C">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„RODO”</w:t>
      </w:r>
      <w:r w:rsidDel="00000000" w:rsidR="00000000" w:rsidRPr="00000000">
        <w:rPr>
          <w:rFonts w:ascii="Calibri" w:cs="Calibri" w:eastAsia="Calibri" w:hAnsi="Calibri"/>
          <w:sz w:val="24"/>
          <w:szCs w:val="24"/>
          <w:rtl w:val="0"/>
        </w:rPr>
        <w:t xml:space="preserve">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Dz. Urz. UE L 127 z 23.05.2018, str. 2 oraz Dz. Urz. UE L 74 z 4.03.2021, str.35); </w:t>
      </w:r>
    </w:p>
    <w:p w:rsidR="00000000" w:rsidDel="00000000" w:rsidP="00000000" w:rsidRDefault="00000000" w:rsidRPr="00000000" w14:paraId="0000002D">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„rozporządzeniu 2021/241”</w:t>
      </w:r>
      <w:r w:rsidDel="00000000" w:rsidR="00000000" w:rsidRPr="00000000">
        <w:rPr>
          <w:rFonts w:ascii="Calibri" w:cs="Calibri" w:eastAsia="Calibri" w:hAnsi="Calibri"/>
          <w:sz w:val="24"/>
          <w:szCs w:val="24"/>
          <w:rtl w:val="0"/>
        </w:rPr>
        <w:t xml:space="preserve"> – oznacza to Rozporządzenie Parlamentu Europejskiego i Rady (UE) 2021/241 z dnia 12 lutego 2021 r. ustanawiające Instrument na rzecz Odbudowy i Zwiększania Odporności (Dz.U. UE L 57 z 18.02.2021, str.17);</w:t>
      </w:r>
    </w:p>
    <w:p w:rsidR="00000000" w:rsidDel="00000000" w:rsidP="00000000" w:rsidRDefault="00000000" w:rsidRPr="00000000" w14:paraId="0000002E">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„Rozporządzeniu 2021/1060”</w:t>
      </w:r>
      <w:r w:rsidDel="00000000" w:rsidR="00000000" w:rsidRPr="00000000">
        <w:rPr>
          <w:rFonts w:ascii="Calibri" w:cs="Calibri" w:eastAsia="Calibri" w:hAnsi="Calibri"/>
          <w:sz w:val="24"/>
          <w:szCs w:val="24"/>
          <w:rtl w:val="0"/>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hyperlink r:id="rId9">
        <w:r w:rsidDel="00000000" w:rsidR="00000000" w:rsidRPr="00000000">
          <w:rPr>
            <w:rFonts w:ascii="Calibri" w:cs="Calibri" w:eastAsia="Calibri" w:hAnsi="Calibri"/>
            <w:sz w:val="24"/>
            <w:szCs w:val="24"/>
            <w:rtl w:val="0"/>
          </w:rPr>
          <w:t xml:space="preserve">Dz.U.UE.L.2021.231.159</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F">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„rozporządzeniu finansowym UE”</w:t>
      </w:r>
      <w:r w:rsidDel="00000000" w:rsidR="00000000" w:rsidRPr="00000000">
        <w:rPr>
          <w:rFonts w:ascii="Calibri" w:cs="Calibri" w:eastAsia="Calibri" w:hAnsi="Calibri"/>
          <w:sz w:val="24"/>
          <w:szCs w:val="24"/>
          <w:rtl w:val="0"/>
        </w:rPr>
        <w:t xml:space="preserve"> – oznacza to Rozporządzenie Parlamentu Europejskiego i Rady (UE, Euratom</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2024/2509 z dnia 23 września 2024 r. w sprawie zasad finansowych mających zastosowanie do budżetu ogólnego Unii (wersja przekształcona) (Dz.Urz. UE L 2024/2509 z dnia 23.09.2024 r.);</w:t>
      </w:r>
    </w:p>
    <w:p w:rsidR="00000000" w:rsidDel="00000000" w:rsidP="00000000" w:rsidRDefault="00000000" w:rsidRPr="00000000" w14:paraId="00000030">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„Ufp”</w:t>
      </w:r>
      <w:r w:rsidDel="00000000" w:rsidR="00000000" w:rsidRPr="00000000">
        <w:rPr>
          <w:rFonts w:ascii="Calibri" w:cs="Calibri" w:eastAsia="Calibri" w:hAnsi="Calibri"/>
          <w:sz w:val="24"/>
          <w:szCs w:val="24"/>
          <w:rtl w:val="0"/>
        </w:rPr>
        <w:t xml:space="preserve"> – oznacza to ustawę z dnia 27 sierpnia 2009 r. o finansach publicznych  (t.j. Dz. U. z 2024 r. poz. 1530, z późn. zm.);</w:t>
      </w:r>
      <w:r w:rsidDel="00000000" w:rsidR="00000000" w:rsidRPr="00000000">
        <w:rPr>
          <w:rFonts w:ascii="Calibri" w:cs="Calibri" w:eastAsia="Calibri" w:hAnsi="Calibri"/>
          <w:color w:val="ee0000"/>
          <w:sz w:val="24"/>
          <w:szCs w:val="24"/>
          <w:rtl w:val="0"/>
        </w:rPr>
        <w:t xml:space="preserve"> </w:t>
      </w:r>
      <w:r w:rsidDel="00000000" w:rsidR="00000000" w:rsidRPr="00000000">
        <w:rPr>
          <w:rtl w:val="0"/>
        </w:rPr>
      </w:r>
    </w:p>
    <w:p w:rsidR="00000000" w:rsidDel="00000000" w:rsidP="00000000" w:rsidRDefault="00000000" w:rsidRPr="00000000" w14:paraId="00000031">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„umowie o powierzeniu grantu”</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oznacza to umowę opisującą sposób przekazania środków na cyfrowe materiały dydaktyczne do Placówek Dydaktycznych, której postanowienia muszą być zgodne z wymaganiami Koncepcji realizacji Przedsięwzięcia stanowiącej załącznik do Regulaminu; </w:t>
      </w:r>
      <w:r w:rsidDel="00000000" w:rsidR="00000000" w:rsidRPr="00000000">
        <w:rPr>
          <w:rtl w:val="0"/>
        </w:rPr>
      </w:r>
    </w:p>
    <w:p w:rsidR="00000000" w:rsidDel="00000000" w:rsidP="00000000" w:rsidRDefault="00000000" w:rsidRPr="00000000" w14:paraId="00000032">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„ustawie o ochronie danych osobowych</w:t>
      </w:r>
      <w:r w:rsidDel="00000000" w:rsidR="00000000" w:rsidRPr="00000000">
        <w:rPr>
          <w:rFonts w:ascii="Calibri" w:cs="Calibri" w:eastAsia="Calibri" w:hAnsi="Calibri"/>
          <w:sz w:val="24"/>
          <w:szCs w:val="24"/>
          <w:rtl w:val="0"/>
        </w:rPr>
        <w:t xml:space="preserve">”</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to ustawę z dnia 10 maja 2018 r. o ochronie danych osobowych (Dz. U. z 2019 r. poz. 1781);</w:t>
      </w:r>
    </w:p>
    <w:p w:rsidR="00000000" w:rsidDel="00000000" w:rsidP="00000000" w:rsidRDefault="00000000" w:rsidRPr="00000000" w14:paraId="00000033">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„ustawie Pzp”</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 oznacza ustawę z dnia 11 września 2019 r.  – Prawo zamówień publicznych (Dz. U. z 2024 r. poz. 1320);</w:t>
      </w:r>
    </w:p>
    <w:p w:rsidR="00000000" w:rsidDel="00000000" w:rsidP="00000000" w:rsidRDefault="00000000" w:rsidRPr="00000000" w14:paraId="00000034">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„ustawie”</w:t>
      </w:r>
      <w:r w:rsidDel="00000000" w:rsidR="00000000" w:rsidRPr="00000000">
        <w:rPr>
          <w:rFonts w:ascii="Calibri" w:cs="Calibri" w:eastAsia="Calibri" w:hAnsi="Calibri"/>
          <w:sz w:val="24"/>
          <w:szCs w:val="24"/>
          <w:rtl w:val="0"/>
        </w:rPr>
        <w:t xml:space="preserve">- oznacza to ustawę z dnia 6 grudnia 2006 r. o zasadach prowadzenia polityki rozwoju (t.j. Dz. U. z 2025 r. poz. 198);</w:t>
      </w:r>
    </w:p>
    <w:p w:rsidR="00000000" w:rsidDel="00000000" w:rsidP="00000000" w:rsidRDefault="00000000" w:rsidRPr="00000000" w14:paraId="00000035">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„Wniosku o grant” </w:t>
      </w:r>
      <w:r w:rsidDel="00000000" w:rsidR="00000000" w:rsidRPr="00000000">
        <w:rPr>
          <w:rFonts w:ascii="Calibri" w:cs="Calibri" w:eastAsia="Calibri" w:hAnsi="Calibri"/>
          <w:sz w:val="24"/>
          <w:szCs w:val="24"/>
          <w:rtl w:val="0"/>
        </w:rPr>
        <w:t xml:space="preserve">– należy przez to rozumieć wniosek składany przez Grantobiorcę w celu uzyskania grantu, stanowiący załącznik nr 3 do Umowy;</w:t>
      </w:r>
    </w:p>
    <w:p w:rsidR="00000000" w:rsidDel="00000000" w:rsidP="00000000" w:rsidRDefault="00000000" w:rsidRPr="00000000" w14:paraId="00000036">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„wolnej licencji”</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rsidR="00000000" w:rsidDel="00000000" w:rsidP="00000000" w:rsidRDefault="00000000" w:rsidRPr="00000000" w14:paraId="00000037">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„wydatkach kwalifikowalnych”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oznacza to wydatki lub koszty, które zostały poniesione zgodnie z umową o powierzenie grantu w związku z realizacją Projektu  które kwalifikują się do rozliczenia; </w:t>
      </w:r>
      <w:r w:rsidDel="00000000" w:rsidR="00000000" w:rsidRPr="00000000">
        <w:rPr>
          <w:rtl w:val="0"/>
        </w:rPr>
      </w:r>
    </w:p>
    <w:p w:rsidR="00000000" w:rsidDel="00000000" w:rsidP="00000000" w:rsidRDefault="00000000" w:rsidRPr="00000000" w14:paraId="00000038">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„wykonawcy”</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to podmiot, który oferuje realizację robót budowlanych, określone produkty lub usługi na rynku lub zawarł umowę w sprawie realizacji zamówienia w Projekcie; </w:t>
      </w:r>
    </w:p>
    <w:p w:rsidR="00000000" w:rsidDel="00000000" w:rsidP="00000000" w:rsidRDefault="00000000" w:rsidRPr="00000000" w14:paraId="00000039">
      <w:pPr>
        <w:numPr>
          <w:ilvl w:val="0"/>
          <w:numId w:val="27"/>
        </w:numPr>
        <w:spacing w:after="0" w:line="360" w:lineRule="auto"/>
        <w:ind w:left="720" w:hanging="363"/>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„zamówieniu”</w:t>
      </w:r>
      <w:r w:rsidDel="00000000" w:rsidR="00000000" w:rsidRPr="00000000">
        <w:rPr>
          <w:rtl w:val="0"/>
        </w:rPr>
        <w:t xml:space="preserve"> </w:t>
      </w:r>
      <w:r w:rsidDel="00000000" w:rsidR="00000000" w:rsidRPr="00000000">
        <w:rPr>
          <w:rFonts w:ascii="Calibri" w:cs="Calibri" w:eastAsia="Calibri" w:hAnsi="Calibri"/>
          <w:sz w:val="24"/>
          <w:szCs w:val="24"/>
          <w:rtl w:val="0"/>
        </w:rPr>
        <w:t xml:space="preserve">– oznacza to pisemną (jeśli zasady, o których mowa w § 2 ust. 1 wymagają takiej formy) umowę odpłatną, zawartą pomiędzy Grantobiorcą a wykonawcą, której przedmiotem są usługi, dostawy lub roboty budowlane przewidziane w ramach realizacji Projektu. Dotyczy to zarówno umów zawieranych na podstawie przepisów ustawy Pzp jak również na zasadach wynikających z treści niniejszej Umowy i dokumentów w niej określonych.</w:t>
      </w:r>
    </w:p>
    <w:p w:rsidR="00000000" w:rsidDel="00000000" w:rsidP="00000000" w:rsidRDefault="00000000" w:rsidRPr="00000000" w14:paraId="0000003A">
      <w:pPr>
        <w:pStyle w:val="Heading2"/>
        <w:rPr/>
      </w:pPr>
      <w:r w:rsidDel="00000000" w:rsidR="00000000" w:rsidRPr="00000000">
        <w:rPr>
          <w:rtl w:val="0"/>
        </w:rPr>
        <w:t xml:space="preserve">§ 2.Przedmiot umowy</w:t>
      </w:r>
    </w:p>
    <w:p w:rsidR="00000000" w:rsidDel="00000000" w:rsidP="00000000" w:rsidRDefault="00000000" w:rsidRPr="00000000" w14:paraId="0000003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17"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Przedmiotem Umowy jest udzielenie Grantobiorcy dofinansowania na realizację Projektu oraz określenie praw i obowiązków Stron Umowy związanych z realizacją Projektu w zakresie rzeczowym.</w:t>
      </w:r>
    </w:p>
    <w:p w:rsidR="00000000" w:rsidDel="00000000" w:rsidP="00000000" w:rsidRDefault="00000000" w:rsidRPr="00000000" w14:paraId="0000003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1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dci4tq88fdap" w:id="0"/>
      <w:bookmarkEnd w:id="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Całkowita wartość Projektu wynosi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zł (słownie:</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 obejmuje wyłącznie koszty kwalifikowalne.</w:t>
      </w:r>
    </w:p>
    <w:p w:rsidR="00000000" w:rsidDel="00000000" w:rsidP="00000000" w:rsidRDefault="00000000" w:rsidRPr="00000000" w14:paraId="0000003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71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Ostateczny Odbiorca Wsparcia przyznaje dofinansowanie na realizację Projektu w kwocie nieprzekraczającej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(słownie: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 stanowi 100% wydatków kwalifikowalnych Projektu ze środków europejskich.</w:t>
      </w:r>
    </w:p>
    <w:p w:rsidR="00000000" w:rsidDel="00000000" w:rsidP="00000000" w:rsidRDefault="00000000" w:rsidRPr="00000000" w14:paraId="0000003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71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nie może przeznaczać otrzymanego wsparcia na cele inne niż związane z Projektem, w szczególności na tymczasowe finansowanie swojej podstawowej działalności poza Projektem. Wydatki przeznaczone na cele inne niż wskazane w Umowie nie zostaną uznane za kwalifikowalne przez Ostatecznego Odbiorcę Wsparcia. Wydatki wykraczające poza całkowitą kwotę wydatków kwalifikowalnych, określoną w ust.3, w tym wydatki wynikające ze wzrostu kosztu całkowitego realizacji Projektu po zawarciu Umowy, są ponoszone przez Grantobiorcę i są wydatkami niekwalifikowalnymi. </w:t>
      </w:r>
    </w:p>
    <w:p w:rsidR="00000000" w:rsidDel="00000000" w:rsidP="00000000" w:rsidRDefault="00000000" w:rsidRPr="00000000" w14:paraId="0000003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71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opóźnienia w przekazywaniu środków finansowych przez Ostatecznego Odbiorcę Wsparcia, Grantobiorcy nie przysługuje prawo domagania się odsetek za opóźnioną płatność. </w:t>
      </w:r>
    </w:p>
    <w:p w:rsidR="00000000" w:rsidDel="00000000" w:rsidP="00000000" w:rsidRDefault="00000000" w:rsidRPr="00000000" w14:paraId="0000004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71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Wydatki kwalifikowane w ramach Projektu nie mogą obejmować kosztu podatku od towarów i usług (VAT). Grantobiorca zobowiązuje się pokryć, w pełnym zakresie, podatek od towarów i usług (VAT) w ramach Projektu. Podatek VAT nie jest wydatkiem kwalifikowalnym i nie może być finansowany ze środków RRF.</w:t>
      </w:r>
    </w:p>
    <w:p w:rsidR="00000000" w:rsidDel="00000000" w:rsidP="00000000" w:rsidRDefault="00000000" w:rsidRPr="00000000" w14:paraId="0000004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71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Rozliczeniu wydatków podlegają jedynie wydatki kwalifikowalne, poniesione w ramach Projektu w okresie kwalifikowalności wydatków dla Projektu, określonym w § 3 ust. 2.</w:t>
      </w:r>
    </w:p>
    <w:p w:rsidR="00000000" w:rsidDel="00000000" w:rsidP="00000000" w:rsidRDefault="00000000" w:rsidRPr="00000000" w14:paraId="0000004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71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Ostateczny Odbiorca Wsparcia może wstrzymać wypłatę dofinansowania w przypadku wystąpienia uzasadnionych podejrzeń, że Projekt realizowany jest niezgodnie z Umową (w szczególności w razie stwierdzenia rozbieżności w realizacji Projektu w stosunku do opisu Projektu zawartego we wniosku o przyznanie grantu, niezłożenia przez Grantobiorcę na wezwanie Ostatecznego Odbiorcy Wsparcia informacji lub wyjaśnień dotyczących realizacji Projektu, nieusunięcia braków lub błędów w dokumentacji związanej z realizacją Projektu, stwierdzenia braków postępów w realizacji Projektu) lub występują zastrzeżenia, co do prawidłowości wydatkowania przekazanych Grantobiorcy środków dofinansowania.</w:t>
      </w:r>
    </w:p>
    <w:p w:rsidR="00000000" w:rsidDel="00000000" w:rsidP="00000000" w:rsidRDefault="00000000" w:rsidRPr="00000000" w14:paraId="00000043">
      <w:pPr>
        <w:pStyle w:val="Heading2"/>
        <w:rPr/>
      </w:pPr>
      <w:r w:rsidDel="00000000" w:rsidR="00000000" w:rsidRPr="00000000">
        <w:rPr>
          <w:rtl w:val="0"/>
        </w:rPr>
        <w:t xml:space="preserve">§ 3.Okres realizacji Projektu i okres obowiązywania umowy </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thveaxq7mtu" w:id="1"/>
      <w:bookmarkEnd w:id="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zrealizować Projekt w zakresie rzeczowym wynikającym z wniosku o grant nr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 terminie </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dni od zawarcia Umowy.</w:t>
      </w:r>
    </w:p>
    <w:p w:rsidR="00000000" w:rsidDel="00000000" w:rsidP="00000000" w:rsidRDefault="00000000" w:rsidRPr="00000000" w14:paraId="00000045">
      <w:pPr>
        <w:widowControl w:val="0"/>
        <w:numPr>
          <w:ilvl w:val="0"/>
          <w:numId w:val="1"/>
        </w:numPr>
        <w:pBdr>
          <w:top w:space="0" w:sz="0" w:val="nil"/>
          <w:left w:space="0" w:sz="0" w:val="nil"/>
          <w:bottom w:space="0" w:sz="0" w:val="nil"/>
          <w:right w:space="0" w:sz="0" w:val="nil"/>
          <w:between w:space="0" w:sz="0" w:val="nil"/>
        </w:pBdr>
        <w:spacing w:after="0"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Okresem kwalifikowalności wydatków w Projekcie jest okres od dnia 01.07.2025 r. do zakończenia terminu, o którym mowa w ust. 1.</w:t>
      </w:r>
    </w:p>
    <w:p w:rsidR="00000000" w:rsidDel="00000000" w:rsidP="00000000" w:rsidRDefault="00000000" w:rsidRPr="00000000" w14:paraId="00000046">
      <w:pPr>
        <w:widowControl w:val="0"/>
        <w:numPr>
          <w:ilvl w:val="0"/>
          <w:numId w:val="1"/>
        </w:numPr>
        <w:pBdr>
          <w:top w:space="0" w:sz="0" w:val="nil"/>
          <w:left w:space="0" w:sz="0" w:val="nil"/>
          <w:bottom w:space="0" w:sz="0" w:val="nil"/>
          <w:right w:space="0" w:sz="0" w:val="nil"/>
          <w:between w:space="0" w:sz="0" w:val="nil"/>
        </w:pBdr>
        <w:spacing w:after="0"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Zakończenie realizacji Projektu obejmuje:</w:t>
      </w:r>
    </w:p>
    <w:p w:rsidR="00000000" w:rsidDel="00000000" w:rsidP="00000000" w:rsidRDefault="00000000" w:rsidRPr="00000000" w14:paraId="00000047">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wykonanie pełnego zakresu rzeczowego;</w:t>
      </w:r>
    </w:p>
    <w:p w:rsidR="00000000" w:rsidDel="00000000" w:rsidP="00000000" w:rsidRDefault="00000000" w:rsidRPr="00000000" w14:paraId="00000048">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udokumentowanie wykonania Projektu odpowiednimi dokumentami księgowymi i innymi potwierdzającymi zgodność realizacji z warunkami umowy, w tym zrealizowanie przez Grantobiorcę wszystkich płatności.</w:t>
      </w:r>
    </w:p>
    <w:p w:rsidR="00000000" w:rsidDel="00000000" w:rsidP="00000000" w:rsidRDefault="00000000" w:rsidRPr="00000000" w14:paraId="00000049">
      <w:pPr>
        <w:widowControl w:val="0"/>
        <w:numPr>
          <w:ilvl w:val="0"/>
          <w:numId w:val="1"/>
        </w:numPr>
        <w:pBdr>
          <w:top w:space="0" w:sz="0" w:val="nil"/>
          <w:left w:space="0" w:sz="0" w:val="nil"/>
          <w:bottom w:space="0" w:sz="0" w:val="nil"/>
          <w:right w:space="0" w:sz="0" w:val="nil"/>
          <w:between w:space="0" w:sz="0" w:val="nil"/>
        </w:pBdr>
        <w:spacing w:after="0" w:line="360" w:lineRule="auto"/>
        <w:ind w:left="720" w:hanging="360"/>
        <w:jc w:val="both"/>
        <w:rPr>
          <w:rFonts w:ascii="Calibri" w:cs="Calibri" w:eastAsia="Calibri" w:hAnsi="Calibri"/>
          <w:sz w:val="24"/>
          <w:szCs w:val="24"/>
        </w:rPr>
      </w:pPr>
      <w:bookmarkStart w:colFirst="0" w:colLast="0" w:name="_heading=h.jqc70kqhjwkc" w:id="2"/>
      <w:bookmarkEnd w:id="2"/>
      <w:r w:rsidDel="00000000" w:rsidR="00000000" w:rsidRPr="00000000">
        <w:rPr>
          <w:rFonts w:ascii="Calibri" w:cs="Calibri" w:eastAsia="Calibri" w:hAnsi="Calibri"/>
          <w:sz w:val="24"/>
          <w:szCs w:val="24"/>
          <w:rtl w:val="0"/>
        </w:rPr>
        <w:t xml:space="preserve">Umowa obowiązuje od dnia jej zawarcia do dnia wykonania przez obie Strony Umowy wszystkich obowiązków z niej wynikających.</w:t>
      </w:r>
    </w:p>
    <w:p w:rsidR="00000000" w:rsidDel="00000000" w:rsidP="00000000" w:rsidRDefault="00000000" w:rsidRPr="00000000" w14:paraId="0000004A">
      <w:pPr>
        <w:pStyle w:val="Heading2"/>
        <w:rPr/>
      </w:pPr>
      <w:bookmarkStart w:colFirst="0" w:colLast="0" w:name="_heading=h.gte5hjobz0ej" w:id="3"/>
      <w:bookmarkEnd w:id="3"/>
      <w:r w:rsidDel="00000000" w:rsidR="00000000" w:rsidRPr="00000000">
        <w:rPr>
          <w:rtl w:val="0"/>
        </w:rPr>
        <w:t xml:space="preserve">§ 4.Obowiązki Grantobiorcy</w:t>
      </w:r>
    </w:p>
    <w:p w:rsidR="00000000" w:rsidDel="00000000" w:rsidP="00000000" w:rsidRDefault="00000000" w:rsidRPr="00000000" w14:paraId="0000004B">
      <w:pPr>
        <w:widowControl w:val="0"/>
        <w:numPr>
          <w:ilvl w:val="0"/>
          <w:numId w:val="18"/>
        </w:numPr>
        <w:pBdr>
          <w:top w:space="0" w:sz="0" w:val="nil"/>
          <w:left w:space="0" w:sz="0" w:val="nil"/>
          <w:bottom w:space="0" w:sz="0" w:val="nil"/>
          <w:right w:space="0" w:sz="0" w:val="nil"/>
          <w:between w:space="0" w:sz="0" w:val="nil"/>
        </w:pBdr>
        <w:spacing w:after="0" w:line="360" w:lineRule="auto"/>
        <w:ind w:left="720" w:hanging="360"/>
        <w:jc w:val="both"/>
        <w:rPr>
          <w:rFonts w:ascii="Calibri" w:cs="Calibri" w:eastAsia="Calibri" w:hAnsi="Calibri"/>
        </w:rPr>
      </w:pPr>
      <w:r w:rsidDel="00000000" w:rsidR="00000000" w:rsidRPr="00000000">
        <w:rPr>
          <w:rFonts w:ascii="Calibri" w:cs="Calibri" w:eastAsia="Calibri" w:hAnsi="Calibri"/>
          <w:sz w:val="24"/>
          <w:szCs w:val="24"/>
          <w:rtl w:val="0"/>
        </w:rPr>
        <w:t xml:space="preserve">W związku z realizacją Projektu, Grantobiorca zobowiązuje się w szczególności do:</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terminowej realizacji Projektu określonej w Umowie;</w:t>
      </w:r>
    </w:p>
    <w:p w:rsidR="00000000" w:rsidDel="00000000" w:rsidP="00000000" w:rsidRDefault="00000000" w:rsidRPr="00000000" w14:paraId="0000004D">
      <w:pPr>
        <w:numPr>
          <w:ilvl w:val="1"/>
          <w:numId w:val="23"/>
        </w:numPr>
        <w:tabs>
          <w:tab w:val="left" w:leader="none" w:pos="142"/>
        </w:tabs>
        <w:spacing w:after="0"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stosowania dokumentów, o których mowa w § 5, na zasadach w nich opisanych;</w:t>
      </w:r>
    </w:p>
    <w:p w:rsidR="00000000" w:rsidDel="00000000" w:rsidP="00000000" w:rsidRDefault="00000000" w:rsidRPr="00000000" w14:paraId="0000004E">
      <w:pPr>
        <w:numPr>
          <w:ilvl w:val="1"/>
          <w:numId w:val="23"/>
        </w:numPr>
        <w:tabs>
          <w:tab w:val="left" w:leader="none" w:pos="142"/>
        </w:tabs>
        <w:spacing w:after="0"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rozliczenia całości wsparcia na zasadach opisanych w § 7;</w:t>
      </w:r>
    </w:p>
    <w:p w:rsidR="00000000" w:rsidDel="00000000" w:rsidP="00000000" w:rsidRDefault="00000000" w:rsidRPr="00000000" w14:paraId="0000004F">
      <w:pPr>
        <w:numPr>
          <w:ilvl w:val="1"/>
          <w:numId w:val="23"/>
        </w:numPr>
        <w:tabs>
          <w:tab w:val="left" w:leader="none" w:pos="142"/>
        </w:tabs>
        <w:spacing w:after="0"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poddania się kontroli na zasadach opisanych w § 10;</w:t>
      </w:r>
    </w:p>
    <w:p w:rsidR="00000000" w:rsidDel="00000000" w:rsidP="00000000" w:rsidRDefault="00000000" w:rsidRPr="00000000" w14:paraId="00000050">
      <w:pPr>
        <w:numPr>
          <w:ilvl w:val="1"/>
          <w:numId w:val="23"/>
        </w:numPr>
        <w:tabs>
          <w:tab w:val="left" w:leader="none" w:pos="142"/>
        </w:tabs>
        <w:spacing w:after="0" w:line="36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przetwarzania danych osobowych zgodnie z RODO i treścią Umowy (jeśli dotyczy);</w:t>
      </w:r>
    </w:p>
    <w:p w:rsidR="00000000" w:rsidDel="00000000" w:rsidP="00000000" w:rsidRDefault="00000000" w:rsidRPr="00000000" w14:paraId="00000051">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przestrzegania zasad równościowych na wszystkich etapach wdrażania Projektu, o których mowa § 5 ust.1 pkt 2;</w:t>
      </w:r>
    </w:p>
    <w:p w:rsidR="00000000" w:rsidDel="00000000" w:rsidP="00000000" w:rsidRDefault="00000000" w:rsidRPr="00000000" w14:paraId="00000052">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realizacji działań informacyjnych i promocyjnych na zasadach opisanych w § 13</w:t>
      </w:r>
      <w:r w:rsidDel="00000000" w:rsidR="00000000" w:rsidRPr="00000000">
        <w:rPr>
          <w:rFonts w:ascii="Calibri" w:cs="Calibri" w:eastAsia="Calibri" w:hAnsi="Calibri"/>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Umowy.</w:t>
      </w:r>
    </w:p>
    <w:p w:rsidR="00000000" w:rsidDel="00000000" w:rsidP="00000000" w:rsidRDefault="00000000" w:rsidRPr="00000000" w14:paraId="0000005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do realizacji Projektu zgodnie i w oparciu o Wniosek o grant oraz Umowę;</w:t>
      </w:r>
    </w:p>
    <w:p w:rsidR="00000000" w:rsidDel="00000000" w:rsidP="00000000" w:rsidRDefault="00000000" w:rsidRPr="00000000" w14:paraId="0000005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niezwłocznie i pisemnie poinformować Ostatecznego Odbiorcę Wsparcia o problemach w realizacji Projektu, w szczególności o zamiarze zaprzestania jego realizacji. </w:t>
      </w:r>
    </w:p>
    <w:p w:rsidR="00000000" w:rsidDel="00000000" w:rsidP="00000000" w:rsidRDefault="00000000" w:rsidRPr="00000000" w14:paraId="00000055">
      <w:pPr>
        <w:pStyle w:val="Heading2"/>
        <w:rPr/>
      </w:pPr>
      <w:r w:rsidDel="00000000" w:rsidR="00000000" w:rsidRPr="00000000">
        <w:rPr>
          <w:rtl w:val="0"/>
        </w:rPr>
        <w:t xml:space="preserve">§ 5. Stosowanie wytycznych i innych dokumentów</w:t>
      </w:r>
    </w:p>
    <w:p w:rsidR="00000000" w:rsidDel="00000000" w:rsidP="00000000" w:rsidRDefault="00000000" w:rsidRPr="00000000" w14:paraId="0000005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do zapoznania z treścią oraz stosowania w związku z realizacją Projektu wszelkich dokumentów systemu realizacji KPO oraz przepisów prawa powszechnie obowiązującego, w szczególności: </w:t>
      </w:r>
    </w:p>
    <w:p w:rsidR="00000000" w:rsidDel="00000000" w:rsidP="00000000" w:rsidRDefault="00000000" w:rsidRPr="00000000" w14:paraId="00000057">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Zasad kwalifikowania wydatków w Przedsięwzięciach realizowanych w ramach Inwestycji C2.1.3. Krajowego Planu Odbudowy i Zwiększania Odporności;</w:t>
      </w:r>
    </w:p>
    <w:p w:rsidR="00000000" w:rsidDel="00000000" w:rsidP="00000000" w:rsidRDefault="00000000" w:rsidRPr="00000000" w14:paraId="00000058">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Wytycznych dotyczących realizacji zasad równościowych w ramach funduszy unijnych na lata 2021-2027, zwanych dalej „Wytycznymi zasad równościowych”; </w:t>
      </w:r>
    </w:p>
    <w:p w:rsidR="00000000" w:rsidDel="00000000" w:rsidP="00000000" w:rsidRDefault="00000000" w:rsidRPr="00000000" w14:paraId="00000059">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Podręcznika dla Beneficjenta Zgodność przedsięwzięć finansowanych ze środków Unii Europejskiej, w tym realizowanych w ramach Krajowego Planu Odbudowy i Zwiększania Odporności, z zasadą „nie czyń znaczącej szkody”; </w:t>
      </w:r>
    </w:p>
    <w:p w:rsidR="00000000" w:rsidDel="00000000" w:rsidP="00000000" w:rsidRDefault="00000000" w:rsidRPr="00000000" w14:paraId="0000005A">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tabs>
          <w:tab w:val="left" w:leader="none" w:pos="900"/>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Strategii Promocji i Informacji Krajowego Planu Odbudowy i Zwiększania Odporności, a także Księgą Identyfikacji Wizualnej KPO;</w:t>
      </w:r>
    </w:p>
    <w:p w:rsidR="00000000" w:rsidDel="00000000" w:rsidP="00000000" w:rsidRDefault="00000000" w:rsidRPr="00000000" w14:paraId="0000005B">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Stawek procentowych korekt finansowych i pomniejszeń dla poszczególnych kategorii nieprawidłowości indywidualnych stosowane w zamówieniach, stanowiących załącznik do Wytycznych dotyczących sposobu korygowania nieprawidłowych wydatków na lata 2021-2027;</w:t>
      </w:r>
    </w:p>
    <w:p w:rsidR="00000000" w:rsidDel="00000000" w:rsidP="00000000" w:rsidRDefault="00000000" w:rsidRPr="00000000" w14:paraId="0000005C">
      <w:pPr>
        <w:keepNext w:val="0"/>
        <w:keepLines w:val="0"/>
        <w:pageBreakBefore w:val="0"/>
        <w:widowControl w:val="1"/>
        <w:numPr>
          <w:ilvl w:val="1"/>
          <w:numId w:val="25"/>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4cr1c4o0et5x" w:id="4"/>
      <w:bookmarkEnd w:id="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Horyzontalnych zasad i kryteriów wyboru przedsięwzięć dla Krajowego Planu Odbudowy i Zwiększania Odporności. </w:t>
      </w:r>
    </w:p>
    <w:p w:rsidR="00000000" w:rsidDel="00000000" w:rsidP="00000000" w:rsidRDefault="00000000" w:rsidRPr="00000000" w14:paraId="0000005D">
      <w:pPr>
        <w:pStyle w:val="Heading2"/>
        <w:rPr/>
      </w:pPr>
      <w:r w:rsidDel="00000000" w:rsidR="00000000" w:rsidRPr="00000000">
        <w:rPr>
          <w:rtl w:val="0"/>
        </w:rPr>
        <w:t xml:space="preserve">§ 6.Zasady odpowiedzialności</w:t>
      </w:r>
    </w:p>
    <w:p w:rsidR="00000000" w:rsidDel="00000000" w:rsidP="00000000" w:rsidRDefault="00000000" w:rsidRPr="00000000" w14:paraId="0000005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56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ponosi odpowiedzialność wobec osób trzecich za szkody powstałe w związku z realizacją Projektu oraz za skutki działań i zaniechań związanych z realizacją Projektu. </w:t>
      </w:r>
    </w:p>
    <w:p w:rsidR="00000000" w:rsidDel="00000000" w:rsidP="00000000" w:rsidRDefault="00000000" w:rsidRPr="00000000" w14:paraId="0000005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56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Prawa i obowiązki Grantobiorcy wynikające z Umowy nie mogą być przenoszone na osoby trzecie bez zgody Ostatecznego Odbiorcy Wsparcia.</w:t>
      </w:r>
    </w:p>
    <w:p w:rsidR="00000000" w:rsidDel="00000000" w:rsidP="00000000" w:rsidRDefault="00000000" w:rsidRPr="00000000" w14:paraId="0000006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56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do realizacji Projektu w pełnym zakresie, w okresie wskazanym w § 3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Projektu.</w:t>
      </w:r>
    </w:p>
    <w:p w:rsidR="00000000" w:rsidDel="00000000" w:rsidP="00000000" w:rsidRDefault="00000000" w:rsidRPr="00000000" w14:paraId="00000061">
      <w:pPr>
        <w:pStyle w:val="Heading2"/>
        <w:ind w:left="141.73228346456688" w:firstLine="0"/>
        <w:rPr/>
      </w:pPr>
      <w:r w:rsidDel="00000000" w:rsidR="00000000" w:rsidRPr="00000000">
        <w:rPr>
          <w:rtl w:val="0"/>
        </w:rPr>
        <w:t xml:space="preserve">§ 7. Rozliczanie Projektu</w:t>
      </w:r>
    </w:p>
    <w:p w:rsidR="00000000" w:rsidDel="00000000" w:rsidP="00000000" w:rsidRDefault="00000000" w:rsidRPr="00000000" w14:paraId="0000006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567" w:right="0" w:hanging="360"/>
        <w:jc w:val="left"/>
        <w:rPr>
          <w:rFonts w:ascii="Calibri" w:cs="Calibri" w:eastAsia="Calibri" w:hAnsi="Calibri"/>
          <w:b w:val="0"/>
          <w:bCs w:val="0"/>
          <w:i w:val="0"/>
          <w:iCs w:val="0"/>
          <w:smallCaps w:val="0"/>
          <w:strike w:val="0"/>
          <w:color w:val="ee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Dofinansowanie zostanie przekazane Grantobiorcy w formie refundacji poniesionych wydatków kwalifikowanych i zostanie wypłacone Grantobiorcy przelewem na rachunek bankowy o numerze: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 banku: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56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gdy bank prowadzący rachunek udostępnia taką możliwość, Grantobiorca zobowiązany jest oznaczyć rachunek bankowy jako służący do obsługi Projektu w celu ochrony środków, które się na nim znajdują przed zajęciem w rozumieniu art. 831 § 1 pkt 2a ustawy z dnia 17 listopada 1964 r. Kodeks postępowania cywilnego (t.j. Dz.U. z 2024 r. poz. 1568 ze zm.)</w:t>
      </w:r>
    </w:p>
    <w:p w:rsidR="00000000" w:rsidDel="00000000" w:rsidP="00000000" w:rsidRDefault="00000000" w:rsidRPr="00000000" w14:paraId="0000006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przekazania dofinansowania w formie refundacji Grantobiorca ma obowiązek złożenia sprawozdania końcowego w terminie </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dni kalendarzowych od dnia zakończenia okresu, o którym mowa w § 3 ust. 1. Dofinansowanie zostanie przekazane w wysokości wydatków uznanych za kwalifikowalne w toku weryfikacji sprawozdania końcowego w terminie </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dni od dnia zatwierdzenia sprawozdania końcowego.</w:t>
      </w:r>
    </w:p>
    <w:p w:rsidR="00000000" w:rsidDel="00000000" w:rsidP="00000000" w:rsidRDefault="00000000" w:rsidRPr="00000000" w14:paraId="0000006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Warunkiem otrzymania refundacji  przez Grantobiorcę jest: </w:t>
      </w:r>
    </w:p>
    <w:p w:rsidR="00000000" w:rsidDel="00000000" w:rsidP="00000000" w:rsidRDefault="00000000" w:rsidRPr="00000000" w14:paraId="0000006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złożenie przez Grantobiorcę do Ostatecznego Odbiorcy Wsparcia poprawnego, kompletnego i spełniającego wymogi formalne, merytoryczne i rachunkowe sprawozdania końcowego z realizacji Projektu wraz z załącznikami potwierdzającymi zakup cyfrowych materiałów dydaktycznych;</w:t>
      </w:r>
    </w:p>
    <w:p w:rsidR="00000000" w:rsidDel="00000000" w:rsidP="00000000" w:rsidRDefault="00000000" w:rsidRPr="00000000" w14:paraId="00000068">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tabs>
          <w:tab w:val="left" w:leader="none" w:pos="142"/>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dokonanie przez OOW weryfikacji formalnej, merytorycznej i rachunkowej sprawozdania końcowego z realizacji Projektu, w tym zaakceptowanie części sprawozdawczej z realizacji Projektu oraz poświadczenie faktycznego i prawidłowego poniesienia wydatków, a także ich kwalifikowalności. </w:t>
      </w:r>
    </w:p>
    <w:p w:rsidR="00000000" w:rsidDel="00000000" w:rsidP="00000000" w:rsidRDefault="00000000" w:rsidRPr="00000000" w14:paraId="0000006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do prowadzenia wyodrębnionej ewidencji wydatków poniesionych w ramach Projektu w sposób przejrzysty, tak aby możliwa była identyfikacja poszczególnych operacji związanych z Projektem.</w:t>
      </w:r>
    </w:p>
    <w:p w:rsidR="00000000" w:rsidDel="00000000" w:rsidP="00000000" w:rsidRDefault="00000000" w:rsidRPr="00000000" w14:paraId="0000006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OOW weryfikuje sprawozdanie końcowe z realizacji Projektu w terminie </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dni licząc od dnia jego złożenia. W przypadku, gdy sprawozdanie końcowe z realizacji Projektu zawiera braki lub błędy, Grantobiorca na wezwanie OOW, jest zobowiązany do złożenia poprawionego lub uzupełnionego sprawozdania końcowego z realizacji Projektu, w terminie </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dni od dnia doręczenia wezwania. </w:t>
      </w:r>
    </w:p>
    <w:p w:rsidR="00000000" w:rsidDel="00000000" w:rsidP="00000000" w:rsidRDefault="00000000" w:rsidRPr="00000000" w14:paraId="0000006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stwierdzenia braków lub błędów formalnych, merytorycznych lub rachunkowych w złożonym sprawozdaniu końcowym z Projektu, OOW może dokonać uzupełnienia lub poprawienia sprawozdania końcowego, o czym pisemnie informuje Grantobiorcę. </w:t>
      </w:r>
    </w:p>
    <w:p w:rsidR="00000000" w:rsidDel="00000000" w:rsidP="00000000" w:rsidRDefault="00000000" w:rsidRPr="00000000" w14:paraId="0000006C">
      <w:pPr>
        <w:pStyle w:val="Heading2"/>
        <w:rPr/>
      </w:pPr>
      <w:r w:rsidDel="00000000" w:rsidR="00000000" w:rsidRPr="00000000">
        <w:rPr>
          <w:rtl w:val="0"/>
        </w:rPr>
        <w:t xml:space="preserve">§ 8.Kwalifikowalność wydatków</w:t>
      </w:r>
    </w:p>
    <w:p w:rsidR="00000000" w:rsidDel="00000000" w:rsidP="00000000" w:rsidRDefault="00000000" w:rsidRPr="00000000" w14:paraId="0000006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sn6wsuagv5x1" w:id="5"/>
      <w:bookmarkEnd w:id="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Okres kwalifikowalności wydatków w ramach Projektu rozpoczyna się od dnia 01.07.2025 r. i kończy się z końcem okresu, o którym mowa  w  § 3 ust. 1.  Wydatki poniesione przed rozpoczęciem lub po zakończeniu okresu kwalifikowalności wydatków dla Projektu będą uznane za niekwalifikowalne.</w:t>
      </w:r>
    </w:p>
    <w:p w:rsidR="00000000" w:rsidDel="00000000" w:rsidP="00000000" w:rsidRDefault="00000000" w:rsidRPr="00000000" w14:paraId="0000006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Warunkiem uznania wydatków za kwalifikowalne jest poniesienie ich przez Grantobiorcę zgodnie z przepisami prawa powszechnie obowiązującego, systemu realizacji KPO, dokumentami, o których mowa w § 5 oraz treścią niniejszej Umowy.  </w:t>
      </w:r>
    </w:p>
    <w:p w:rsidR="00000000" w:rsidDel="00000000" w:rsidP="00000000" w:rsidRDefault="00000000" w:rsidRPr="00000000" w14:paraId="0000006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Warunkiem uznania wydatków za kwalifikowalne jest faktyczne poniesienie ich przez Grantobiorcę w związku z realizacją Projektu, zgodnie z Umową i w okresie, o którym mowa w ust. 1.</w:t>
      </w:r>
    </w:p>
    <w:p w:rsidR="00000000" w:rsidDel="00000000" w:rsidP="00000000" w:rsidRDefault="00000000" w:rsidRPr="00000000" w14:paraId="0000007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Przyjęcie Projektu do realizacji i zawarcie z Grantobiorcą Umowy nie oznacza, że wszystkie wydatki, które Grantobiorca przedstawi do poświadczenia w sprawozdaniu końcowym zostaną uznane za kwalifikowalne. Kwalifikowalność poniesionych wydatków oceniana jest na każdym etapie realizacji Projektu.</w:t>
      </w:r>
    </w:p>
    <w:p w:rsidR="00000000" w:rsidDel="00000000" w:rsidP="00000000" w:rsidRDefault="00000000" w:rsidRPr="00000000" w14:paraId="00000071">
      <w:pPr>
        <w:pStyle w:val="Heading2"/>
        <w:rPr/>
      </w:pPr>
      <w:r w:rsidDel="00000000" w:rsidR="00000000" w:rsidRPr="00000000">
        <w:rPr>
          <w:rtl w:val="0"/>
        </w:rPr>
        <w:t xml:space="preserve">§ 9.Zwrot środków</w:t>
      </w:r>
    </w:p>
    <w:p w:rsidR="00000000" w:rsidDel="00000000" w:rsidP="00000000" w:rsidRDefault="00000000" w:rsidRPr="00000000" w14:paraId="0000007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gdy środki przeznaczone na realizację Projektu są:</w:t>
      </w:r>
    </w:p>
    <w:p w:rsidR="00000000" w:rsidDel="00000000" w:rsidP="00000000" w:rsidRDefault="00000000" w:rsidRPr="00000000" w14:paraId="00000073">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wykorzystane niezgodnie z przeznaczeniem,</w:t>
      </w:r>
    </w:p>
    <w:p w:rsidR="00000000" w:rsidDel="00000000" w:rsidP="00000000" w:rsidRDefault="00000000" w:rsidRPr="00000000" w14:paraId="00000074">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wykorzystane z naruszeniem procedur obowiązujących przy ich wykorzystaniu, w tym postanowień Umowy;</w:t>
      </w:r>
    </w:p>
    <w:p w:rsidR="00000000" w:rsidDel="00000000" w:rsidP="00000000" w:rsidRDefault="00000000" w:rsidRPr="00000000" w14:paraId="00000075">
      <w:pPr>
        <w:keepNext w:val="0"/>
        <w:keepLines w:val="0"/>
        <w:pageBreakBefore w:val="0"/>
        <w:widowControl w:val="1"/>
        <w:numPr>
          <w:ilvl w:val="1"/>
          <w:numId w:val="30"/>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pobrane nienależnie lub w nadmiernej wysokości;</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podlegają zwrotowi wraz z odsetkami w wysokości określonej jak dla zaległości podatkowych, liczonymi od dnia przekazania środków Ostatecznemu Odbiorcy Wsparcia przez Jednostkę wspierającą do dnia zwrotu środków przez Grantobiorcę, w terminie </w:t>
      </w:r>
      <w:r w:rsidDel="00000000" w:rsidR="00000000" w:rsidRPr="00000000">
        <w:rPr>
          <w:sz w:val="24"/>
          <w:szCs w:val="24"/>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dni od dnia doręczenia wezwania do zwrotu środków na wskazany w wezwaniu rachunek bankowy.</w:t>
      </w:r>
    </w:p>
    <w:p w:rsidR="00000000" w:rsidDel="00000000" w:rsidP="00000000" w:rsidRDefault="00000000" w:rsidRPr="00000000" w14:paraId="0000007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 bezskutecznym upływie terminu, o którym mowa w ust. 1, OOW wszczyna procedurę odzyskiwania od Grantobiorcy określającą kwotę przypadającą do zwrotu i termin, od którego nalicza się odsetki.</w:t>
      </w:r>
    </w:p>
    <w:p w:rsidR="00000000" w:rsidDel="00000000" w:rsidP="00000000" w:rsidRDefault="00000000" w:rsidRPr="00000000" w14:paraId="0000007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Wezwania do zwrotu nie wydaje się, jeżeli Grantobiorca dokonał zwrotu środków wraz z odsetkami przed jej wydaniem. </w:t>
      </w:r>
    </w:p>
    <w:p w:rsidR="00000000" w:rsidDel="00000000" w:rsidP="00000000" w:rsidRDefault="00000000" w:rsidRPr="00000000" w14:paraId="0000007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rozwiązania Umowy Grantobiorca jest zobowiązany do zwrotu dofinansowania, w terminie 7 dni od dnia rozwiązania Umowy, a w przypadku stwierdzenia naruszeń, o których mowa w ust. 1, wraz z odsetkami w wysokości określonej jak dla zaległości podatkowych naliczonymi od dnia przekazania środków do dyspozycji Grantobiorcy. Zwrot dofinansowania powinien zostać dokonany na rachunki bankowe wskazane przez OOW ze wskazaniem: </w:t>
      </w:r>
    </w:p>
    <w:p w:rsidR="00000000" w:rsidDel="00000000" w:rsidP="00000000" w:rsidRDefault="00000000" w:rsidRPr="00000000" w14:paraId="0000007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numeru umowy; </w:t>
      </w:r>
    </w:p>
    <w:p w:rsidR="00000000" w:rsidDel="00000000" w:rsidP="00000000" w:rsidRDefault="00000000" w:rsidRPr="00000000" w14:paraId="0000007B">
      <w:pPr>
        <w:numPr>
          <w:ilvl w:val="1"/>
          <w:numId w:val="2"/>
        </w:numPr>
        <w:spacing w:after="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informacji o kwocie głównej i kwocie odsetek; </w:t>
      </w:r>
    </w:p>
    <w:p w:rsidR="00000000" w:rsidDel="00000000" w:rsidP="00000000" w:rsidRDefault="00000000" w:rsidRPr="00000000" w14:paraId="0000007C">
      <w:pPr>
        <w:numPr>
          <w:ilvl w:val="1"/>
          <w:numId w:val="2"/>
        </w:numPr>
        <w:spacing w:after="0" w:line="36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tytułu zwrotu.</w:t>
      </w:r>
    </w:p>
    <w:p w:rsidR="00000000" w:rsidDel="00000000" w:rsidP="00000000" w:rsidRDefault="00000000" w:rsidRPr="00000000" w14:paraId="0000007D">
      <w:pPr>
        <w:pStyle w:val="Heading2"/>
        <w:rPr/>
      </w:pPr>
      <w:bookmarkStart w:colFirst="0" w:colLast="0" w:name="_heading=h.bcda9pww0g4u" w:id="6"/>
      <w:bookmarkEnd w:id="6"/>
      <w:r w:rsidDel="00000000" w:rsidR="00000000" w:rsidRPr="00000000">
        <w:rPr>
          <w:rtl w:val="0"/>
        </w:rPr>
        <w:t xml:space="preserve">§ 10.Kontrola </w:t>
      </w:r>
    </w:p>
    <w:p w:rsidR="00000000" w:rsidDel="00000000" w:rsidP="00000000" w:rsidRDefault="00000000" w:rsidRPr="00000000" w14:paraId="0000007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poddać kontroli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Pr>
        <w:footnoteReference w:customMarkFollows="0" w:id="0"/>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dokonywanej przez Ostatecznego Odbiorcę Wsparcia oraz inne uprawnione podmioty w zakresie prawidłowości realizacji Projektu;</w:t>
      </w:r>
    </w:p>
    <w:p w:rsidR="00000000" w:rsidDel="00000000" w:rsidP="00000000" w:rsidRDefault="00000000" w:rsidRPr="00000000" w14:paraId="000000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Kontrole i audyty mogą być przeprowadzane w każdym czasie od dnia podpisania Umowy do dnia wygaśnięcia wszelkich obowiązków wynikających z Umowy.</w:t>
      </w:r>
    </w:p>
    <w:p w:rsidR="00000000" w:rsidDel="00000000" w:rsidP="00000000" w:rsidRDefault="00000000" w:rsidRPr="00000000" w14:paraId="0000008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Kontrola może zostać przeprowadzona zarówno w siedzibie Grantobiorcy, jak i w miejscu realizacji Projektu, przy czym niektóre czynności kontrolne mogą być prowadzone w siedzibie podmiotu kontrolującego.</w:t>
      </w:r>
    </w:p>
    <w:p w:rsidR="00000000" w:rsidDel="00000000" w:rsidP="00000000" w:rsidRDefault="00000000" w:rsidRPr="00000000" w14:paraId="0000008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zapewnia Ostatecznemu Odbiorcy Wsparcia oraz podmiotom, o których mowa w ust. 1, prawo wglądu we wszystkie dokumenty związane, jak i niezwiązane z realizacją Projektu o ile jest to konieczne do stwierdzenia kwalifikowalności wydatków w Projekcie, w tym w dokumenty elektroniczne przez cały okres ich przechowywania.</w:t>
      </w:r>
    </w:p>
    <w:p w:rsidR="00000000" w:rsidDel="00000000" w:rsidP="00000000" w:rsidRDefault="00000000" w:rsidRPr="00000000" w14:paraId="0000008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do zapewnienia dostępu do pomieszczeń i terenu realizacji Projektu, dostępu do związanych z Projektem systemów teleinformatycznych oraz udzielania wszelkich wyjaśnień i informacji dotyczących realizacji Projektu na żądanie każdej instytucji, o której mowa w ust. 1.</w:t>
      </w:r>
    </w:p>
    <w:p w:rsidR="00000000" w:rsidDel="00000000" w:rsidP="00000000" w:rsidRDefault="00000000" w:rsidRPr="00000000" w14:paraId="000000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Niezrealizowanie obowiązków, o których mowa w ust. 4 i 5 jest traktowane jako utrudnianie przeprowadzenia kontroli lub audytu.</w:t>
      </w:r>
    </w:p>
    <w:p w:rsidR="00000000" w:rsidDel="00000000" w:rsidP="00000000" w:rsidRDefault="00000000" w:rsidRPr="00000000" w14:paraId="000000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Kontrole w miejscu realizacji Projektu przeprowadza się na podstawie pisemnego imiennego upoważnienia do przeprowadzenia kontroli. </w:t>
      </w:r>
    </w:p>
    <w:p w:rsidR="00000000" w:rsidDel="00000000" w:rsidP="00000000" w:rsidRDefault="00000000" w:rsidRPr="00000000" w14:paraId="000000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Podmioty upoważnione do przeprowadzenia kontroli przeprowadzą je w trybie planowym lub doraźnym. W przypadku kontroli w trybie planowym, podmioty upoważnione przekazują Grantobiorcy pisemne zawiadomienie o planowanej kontroli w terminie nie krótszym niż 5 dni przed planowanym terminem kontroli.</w:t>
      </w:r>
    </w:p>
    <w:p w:rsidR="00000000" w:rsidDel="00000000" w:rsidP="00000000" w:rsidRDefault="00000000" w:rsidRPr="00000000" w14:paraId="0000008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 zakończeniu kontroli zostanie przekazana Grantobiorcy informacja pokontrolna w formie pisemnej. Informacja pokontrolna zawiera termin przekazania przez Grantobiorcę do Ostatecznego Odbiorcy Wsparcia informacji o sposobie wykonania zaleceń pokontrolnych lub wykorzystania rekomendacji, a także o podjętych działaniach lub przyczynach ich niepodjęcia. Termin wyznacza się, uwzględniając charakter tych zaleceń lub rekomendacji.</w:t>
      </w:r>
    </w:p>
    <w:p w:rsidR="00000000" w:rsidDel="00000000" w:rsidP="00000000" w:rsidRDefault="00000000" w:rsidRPr="00000000" w14:paraId="000000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ma prawo do zgłoszenia, w terminie 7 dni od dnia otrzymania informacji pokontrolnej, umotywowanych pisemnych zastrzeżeń do tej informacji.</w:t>
      </w:r>
    </w:p>
    <w:p w:rsidR="00000000" w:rsidDel="00000000" w:rsidP="00000000" w:rsidRDefault="00000000" w:rsidRPr="00000000" w14:paraId="000000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Zastrzeżenia, o których mowa w ust. 10 mogą zostać w każdym czasie wycofane. Zastrzeżenia, które zostały wycofane, pozostawia się bez rozpatrzenia.</w:t>
      </w:r>
    </w:p>
    <w:p w:rsidR="00000000" w:rsidDel="00000000" w:rsidP="00000000" w:rsidRDefault="00000000" w:rsidRPr="00000000" w14:paraId="0000008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Zastrzeżenia do informacji pokontrolnej mogą zostać zgłoszone przez Grantobiorcę tylko raz. Do ostatecznej informacji pokontrolnej oraz do pisemnego stanowiska wobec zgłoszonych zastrzeżeń nie przysługuje możliwość złożenia zastrzeżeń.</w:t>
      </w:r>
    </w:p>
    <w:p w:rsidR="00000000" w:rsidDel="00000000" w:rsidP="00000000" w:rsidRDefault="00000000" w:rsidRPr="00000000" w14:paraId="0000008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Ustalenia OOW oraz podmiotów, o których mowa w ust. 1, mogą prowadzić do korekty wydatków kwalifikowalnych rozliczonych w ramach Projektu na zasadach wskazanych w Umowie o powierzenie grantu, dokumentach systemu realizacji KPO oraz właściwych przepisów prawa powszechnie obowiązującego. </w:t>
      </w:r>
    </w:p>
    <w:p w:rsidR="00000000" w:rsidDel="00000000" w:rsidP="00000000" w:rsidRDefault="00000000" w:rsidRPr="00000000" w14:paraId="0000008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644"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uzasadnionych przypadkach kontrole mogą odbywać się w formie zdalnego porozumiewania się Stron na odległość np. poprzez komunikatory internetowe, e-mail lub przy pomocy innych metod wskazanych przez Ostatecznego Odbiorcy Wsparcia.</w:t>
      </w:r>
    </w:p>
    <w:p w:rsidR="00000000" w:rsidDel="00000000" w:rsidP="00000000" w:rsidRDefault="00000000" w:rsidRPr="00000000" w14:paraId="0000008C">
      <w:pPr>
        <w:pStyle w:val="Heading2"/>
        <w:rPr/>
      </w:pPr>
      <w:r w:rsidDel="00000000" w:rsidR="00000000" w:rsidRPr="00000000">
        <w:rPr>
          <w:rtl w:val="0"/>
        </w:rPr>
        <w:t xml:space="preserve">§ 11.Obowiązki w zakresie przechowywania dokumentów</w:t>
      </w:r>
    </w:p>
    <w:p w:rsidR="00000000" w:rsidDel="00000000" w:rsidP="00000000" w:rsidRDefault="00000000" w:rsidRPr="00000000" w14:paraId="0000008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niezwłocznie po zawarciu Umowy poinformować Ostatecznego Odbiorcę Wsparcia o miejscu przechowywania dokumentów związanych z realizacją Projektu.</w:t>
      </w:r>
    </w:p>
    <w:p w:rsidR="00000000" w:rsidDel="00000000" w:rsidP="00000000" w:rsidRDefault="00000000" w:rsidRPr="00000000" w14:paraId="0000008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Dokumenty przechowuje się albo w oryginałach albo w ich uwierzytelnionych odpisach lub na powszechnie uznanych nośnikach danych, w tym jako elektroniczne wersje dokumentów oryginalnych lub dokumenty istniejące wyłącznie w wersji elektronicznej.</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do przechowywania dokumentacji związanej z realizacją Projektu na zasadach opisanych w art. 132 rozporządzenia finansowego UE. tj. przez okres 3 lat od dnia płatności salda. Ostateczny Odbiorca Wsparcia poinformuje o dacie rozpoczęcia tego okresu.</w:t>
      </w:r>
    </w:p>
    <w:p w:rsidR="00000000" w:rsidDel="00000000" w:rsidP="00000000" w:rsidRDefault="00000000" w:rsidRPr="00000000" w14:paraId="00000090">
      <w:pPr>
        <w:pStyle w:val="Heading2"/>
        <w:rPr/>
      </w:pPr>
      <w:r w:rsidDel="00000000" w:rsidR="00000000" w:rsidRPr="00000000">
        <w:rPr>
          <w:rtl w:val="0"/>
        </w:rPr>
        <w:t xml:space="preserve">§ 12.Ochrona danych osobowych</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Przetwarzanie danych osobowych odbywa się w szczególności na podstawie: </w:t>
      </w:r>
    </w:p>
    <w:p w:rsidR="00000000" w:rsidDel="00000000" w:rsidP="00000000" w:rsidRDefault="00000000" w:rsidRPr="00000000" w14:paraId="00000092">
      <w:pPr>
        <w:keepNext w:val="1"/>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RODO; </w:t>
      </w:r>
    </w:p>
    <w:p w:rsidR="00000000" w:rsidDel="00000000" w:rsidP="00000000" w:rsidRDefault="00000000" w:rsidRPr="00000000" w14:paraId="00000093">
      <w:pPr>
        <w:keepNext w:val="1"/>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Ustawy o ochronie danych osobowych.</w:t>
      </w:r>
    </w:p>
    <w:p w:rsidR="00000000" w:rsidDel="00000000" w:rsidP="00000000" w:rsidRDefault="00000000" w:rsidRPr="00000000" w14:paraId="0000009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Ostateczny Odbiorca Wsparcia, który jest Administratorem danych osobowych w rozumieniu RODO art. 4 decyduje o celach i sposobach przetwarzania Danych osobowych. </w:t>
      </w:r>
    </w:p>
    <w:p w:rsidR="00000000" w:rsidDel="00000000" w:rsidP="00000000" w:rsidRDefault="00000000" w:rsidRPr="00000000" w14:paraId="0000009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niezwłocznie poinformuje Ostatecznego Odbiorcę Wsparcia o: </w:t>
      </w:r>
    </w:p>
    <w:p w:rsidR="00000000" w:rsidDel="00000000" w:rsidP="00000000" w:rsidRDefault="00000000" w:rsidRPr="00000000" w14:paraId="0000009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wszelkich przypadkach podejrzenia naruszenia obowiązków dotyczących ochrony powierzonych do przetwarzania Danych osobowych, naruszenia tajemnicy tych Danych osobowych lub ich niewłaściwego wykorzystania;</w:t>
      </w:r>
    </w:p>
    <w:p w:rsidR="00000000" w:rsidDel="00000000" w:rsidP="00000000" w:rsidRDefault="00000000" w:rsidRPr="00000000" w14:paraId="0000009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wszelkich czynnościach z własnym udziałem w sprawach dotyczących ochrony Danych osobowych prowadzonych w szczególności przez organ nadzorczy, Policję lub sąd. </w:t>
      </w:r>
    </w:p>
    <w:p w:rsidR="00000000" w:rsidDel="00000000" w:rsidP="00000000" w:rsidRDefault="00000000" w:rsidRPr="00000000" w14:paraId="0000009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zobowiązuje się do udzielenia Ostatecznemu Odbiorcy Wsparcia, na każde jego żądanie, informacji na temat przetwarzania powierzonych do przetwarzania Danych osobowych. </w:t>
      </w:r>
    </w:p>
    <w:p w:rsidR="00000000" w:rsidDel="00000000" w:rsidP="00000000" w:rsidRDefault="00000000" w:rsidRPr="00000000" w14:paraId="0000009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podejrzenia naruszenia przepisów z zakresu ochrony Danych osobowych, Grantobiorca zgłosi je Ostatecznemu Odbiorcy Wsparcia, nie później niż w ciągu 12 godzin po jego stwierdzeniu. Oprócz elementów określonych w art. 33 ust. 3 RODO, zgłoszenie powinno zawierać informacje umożliwiające Ostatecznemu Odbiorcy Wsparcia określenie czy naruszenie skutkuje wysokim ryzykiem naruszenia praw lub wolności osób fizycznych. Jeżeli wszystkich informacji, o których mowa w art. 33 ust. 3 RODO, nie da się udzielić w tym samym czasie, Grantobiorca może je udzielać Ostatecznemu Odbiorcy Wsparcia sukcesywnie bez zbędnej zwłoki. </w:t>
      </w:r>
    </w:p>
    <w:p w:rsidR="00000000" w:rsidDel="00000000" w:rsidP="00000000" w:rsidRDefault="00000000" w:rsidRPr="00000000" w14:paraId="0000009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przypadku wystąpienia naruszenia ochrony Danych osobowych, mogącego powodować w ocenie Ostatecznego Odbiorcy Wsparcia wysokie ryzyko naruszenia praw lub wolności osób fizycznych, Grantobiorca zgodnie z zaleceniami Ostatecznego Odbiorcy Wsparcia, bez zbędnej zwłoki, zawiadomi osoby, których naruszenie dotyczy. </w:t>
      </w:r>
    </w:p>
    <w:p w:rsidR="00000000" w:rsidDel="00000000" w:rsidP="00000000" w:rsidRDefault="00000000" w:rsidRPr="00000000" w14:paraId="0000009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pomaga Ostatecznemu Odbiorcy Wsparcia wywiązać się z obowiązków określonych w art. 32 - 36 RODO. </w:t>
      </w:r>
    </w:p>
    <w:p w:rsidR="00000000" w:rsidDel="00000000" w:rsidP="00000000" w:rsidRDefault="00000000" w:rsidRPr="00000000" w14:paraId="0000009C">
      <w:pPr>
        <w:pStyle w:val="Heading2"/>
        <w:rPr/>
      </w:pPr>
      <w:r w:rsidDel="00000000" w:rsidR="00000000" w:rsidRPr="00000000">
        <w:rPr>
          <w:rtl w:val="0"/>
        </w:rPr>
        <w:t xml:space="preserve">§ 13.Obowiązki informacyjne i promocyjne</w:t>
      </w:r>
    </w:p>
    <w:p w:rsidR="00000000" w:rsidDel="00000000" w:rsidP="00000000" w:rsidRDefault="00000000" w:rsidRPr="00000000" w14:paraId="0000009D">
      <w:pPr>
        <w:keepNext w:val="1"/>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87" w:right="0" w:hanging="428"/>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76wgjzf7oqzw" w:id="7"/>
      <w:bookmarkEnd w:id="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jest zobowiązany do informowania opinii publicznej o fakcie otrzymania dofinansowania na realizację Projektu ze środków Krajowego Planu Odbudowy i Zwiększania Odporności oraz Unii Europejskiej – NextGenerationEU. </w:t>
      </w:r>
    </w:p>
    <w:p w:rsidR="00000000" w:rsidDel="00000000" w:rsidP="00000000" w:rsidRDefault="00000000" w:rsidRPr="00000000" w14:paraId="0000009E">
      <w:pPr>
        <w:keepNext w:val="1"/>
        <w:numPr>
          <w:ilvl w:val="0"/>
          <w:numId w:val="7"/>
        </w:numPr>
        <w:spacing w:after="0" w:line="360" w:lineRule="auto"/>
        <w:ind w:left="787" w:hanging="428"/>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 zakresie, o którym mowa w ust. 1, Grantobiorca jest zobowiązany do stosowania art. 34 rozporządzenia 2021/241.</w:t>
      </w:r>
    </w:p>
    <w:p w:rsidR="00000000" w:rsidDel="00000000" w:rsidP="00000000" w:rsidRDefault="00000000" w:rsidRPr="00000000" w14:paraId="0000009F">
      <w:pPr>
        <w:keepNext w:val="1"/>
        <w:numPr>
          <w:ilvl w:val="0"/>
          <w:numId w:val="7"/>
        </w:numPr>
        <w:spacing w:after="0" w:line="360" w:lineRule="auto"/>
        <w:ind w:left="787" w:hanging="428"/>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Materiałem o charakterze informacyjnym i pomocniczym, jest dokument „Strategia </w:t>
      </w:r>
      <w:r w:rsidDel="00000000" w:rsidR="00000000" w:rsidRPr="00000000">
        <w:rPr>
          <w:rFonts w:ascii="Calibri" w:cs="Calibri" w:eastAsia="Calibri" w:hAnsi="Calibri"/>
          <w:sz w:val="24"/>
          <w:szCs w:val="24"/>
          <w:rtl w:val="0"/>
        </w:rPr>
        <w:t xml:space="preserve">Promocji i Informacji Krajowego Planu Odbudowy i Zwiększania Odporności” dostępny pod adresem:  </w:t>
      </w:r>
      <w:hyperlink r:id="rId10">
        <w:r w:rsidDel="00000000" w:rsidR="00000000" w:rsidRPr="00000000">
          <w:rPr>
            <w:rFonts w:ascii="Calibri" w:cs="Calibri" w:eastAsia="Calibri" w:hAnsi="Calibri"/>
            <w:color w:val="000000"/>
            <w:sz w:val="24"/>
            <w:szCs w:val="24"/>
            <w:u w:val="single"/>
            <w:rtl w:val="0"/>
          </w:rPr>
          <w:t xml:space="preserve">https://www.gov.pl/web/planodbudowy/strategia-promocji-i-informacji-kpo</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0">
      <w:pPr>
        <w:keepNext w:val="1"/>
        <w:numPr>
          <w:ilvl w:val="0"/>
          <w:numId w:val="7"/>
        </w:numPr>
        <w:spacing w:after="0" w:line="360" w:lineRule="auto"/>
        <w:ind w:left="787" w:hanging="428"/>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Grantobiorca jest zobowiązany do wypełniania obowiązków informacyjnych i promocyjnych zgodnie z dokumentami wskazanymi w ust. 2 i 3.</w:t>
      </w:r>
    </w:p>
    <w:p w:rsidR="00000000" w:rsidDel="00000000" w:rsidP="00000000" w:rsidRDefault="00000000" w:rsidRPr="00000000" w14:paraId="000000A1">
      <w:pPr>
        <w:keepNext w:val="1"/>
        <w:numPr>
          <w:ilvl w:val="0"/>
          <w:numId w:val="7"/>
        </w:numPr>
        <w:spacing w:after="0" w:line="360" w:lineRule="auto"/>
        <w:ind w:left="787" w:hanging="428"/>
        <w:rPr>
          <w:rFonts w:ascii="Calibri" w:cs="Calibri" w:eastAsia="Calibri" w:hAnsi="Calibri"/>
          <w:color w:val="000000"/>
          <w:sz w:val="24"/>
          <w:szCs w:val="24"/>
          <w:u w:val="none"/>
        </w:rPr>
      </w:pPr>
      <w:r w:rsidDel="00000000" w:rsidR="00000000" w:rsidRPr="00000000">
        <w:rPr>
          <w:rFonts w:ascii="Calibri" w:cs="Calibri" w:eastAsia="Calibri" w:hAnsi="Calibri"/>
          <w:sz w:val="24"/>
          <w:szCs w:val="24"/>
          <w:rtl w:val="0"/>
        </w:rPr>
        <w:t xml:space="preserve">Grantobiorca jest zobowiązany do stosowania Księgi Identyfikacji Wizualizacji KPO, obowiązujących znaków, wzorów oraz szablonów dostępnych pod adresem: </w:t>
      </w:r>
      <w:hyperlink r:id="rId11">
        <w:r w:rsidDel="00000000" w:rsidR="00000000" w:rsidRPr="00000000">
          <w:rPr>
            <w:rFonts w:ascii="Calibri" w:cs="Calibri" w:eastAsia="Calibri" w:hAnsi="Calibri"/>
            <w:color w:val="000000"/>
            <w:sz w:val="24"/>
            <w:szCs w:val="24"/>
            <w:u w:val="single"/>
            <w:rtl w:val="0"/>
          </w:rPr>
          <w:t xml:space="preserve">https://www.gov.pl/web/planodbudowy/strategia-promocji-i-informacji-kpo.</w:t>
        </w:r>
      </w:hyperlink>
      <w:r w:rsidDel="00000000" w:rsidR="00000000" w:rsidRPr="00000000">
        <w:rPr>
          <w:rtl w:val="0"/>
        </w:rPr>
      </w:r>
    </w:p>
    <w:p w:rsidR="00000000" w:rsidDel="00000000" w:rsidP="00000000" w:rsidRDefault="00000000" w:rsidRPr="00000000" w14:paraId="000000A2">
      <w:pPr>
        <w:pStyle w:val="Heading2"/>
        <w:rPr/>
      </w:pPr>
      <w:r w:rsidDel="00000000" w:rsidR="00000000" w:rsidRPr="00000000">
        <w:rPr>
          <w:rtl w:val="0"/>
        </w:rPr>
        <w:t xml:space="preserve">§ 14.Zmiany w Projekcie</w:t>
      </w:r>
    </w:p>
    <w:p w:rsidR="00000000" w:rsidDel="00000000" w:rsidP="00000000" w:rsidRDefault="00000000" w:rsidRPr="00000000" w14:paraId="000000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Przez zmiany zaakceptowane przez Ostatecznego Odbiorcę Wsparcia należy rozumieć zmiany zaakceptowane oficjalnym pismem podpisanym przez osobę upoważnioną.</w:t>
      </w:r>
    </w:p>
    <w:p w:rsidR="00000000" w:rsidDel="00000000" w:rsidP="00000000" w:rsidRDefault="00000000" w:rsidRPr="00000000" w14:paraId="000000A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Zmiana: </w:t>
      </w:r>
    </w:p>
    <w:p w:rsidR="00000000" w:rsidDel="00000000" w:rsidP="00000000" w:rsidRDefault="00000000" w:rsidRPr="00000000" w14:paraId="000000A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danych adresowych; </w:t>
      </w:r>
    </w:p>
    <w:p w:rsidR="00000000" w:rsidDel="00000000" w:rsidP="00000000" w:rsidRDefault="00000000" w:rsidRPr="00000000" w14:paraId="000000A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danych kontaktowych lub osób do kontaktu; </w:t>
      </w:r>
    </w:p>
    <w:p w:rsidR="00000000" w:rsidDel="00000000" w:rsidP="00000000" w:rsidRDefault="00000000" w:rsidRPr="00000000" w14:paraId="000000A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nazwy Grantobiorcy (bez zmiany formy prawnej); - wymaga jedynie poinformowania Ostatecznego Odbiorcę Wsparcia oficjalnym pismem. </w:t>
      </w:r>
    </w:p>
    <w:p w:rsidR="00000000" w:rsidDel="00000000" w:rsidP="00000000" w:rsidRDefault="00000000" w:rsidRPr="00000000" w14:paraId="000000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Akceptacji Ostatecznego Odbiorcy Wsparcia oraz zawarcia aneksu do Umowy, wymagają zmiany polegające na:</w:t>
      </w:r>
    </w:p>
    <w:p w:rsidR="00000000" w:rsidDel="00000000" w:rsidP="00000000" w:rsidRDefault="00000000" w:rsidRPr="00000000" w14:paraId="000000A9">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zmianie wartości wydatków kwalifikowanych i dofinansowania Projektu;</w:t>
      </w:r>
    </w:p>
    <w:p w:rsidR="00000000" w:rsidDel="00000000" w:rsidP="00000000" w:rsidRDefault="00000000" w:rsidRPr="00000000" w14:paraId="000000AA">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zmianie okresu realizacji lub kwalifikowalności Projektu, o którym mowa w </w:t>
        <w:br w:type="textWrapping"/>
        <w:t xml:space="preserve">§ 3.</w:t>
      </w:r>
    </w:p>
    <w:p w:rsidR="00000000" w:rsidDel="00000000" w:rsidP="00000000" w:rsidRDefault="00000000" w:rsidRPr="00000000" w14:paraId="000000A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Zmiany dotyczące okresu realizacji bądź okresu kwalifikowalności wydatków Projektu nie mogą skutkować wydłużeniem tych okresów poza dzień 30 czerwca 2026 r. Wyjątkiem jest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zmiana dokumentów programowych KPO, wytycznych KE i/lub innych przepisów prawa, które uzasadniały by ich wydłużenie. </w:t>
      </w:r>
    </w:p>
    <w:p w:rsidR="00000000" w:rsidDel="00000000" w:rsidP="00000000" w:rsidRDefault="00000000" w:rsidRPr="00000000" w14:paraId="000000A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może zmienić liczbę/wartość poszczególnych cyfrowych materiałów dydaktycznych  z poszczególnego asortymentu w stosunku do ilości/wartości zadeklarowanej we wniosku, zgodnie z własnymi potrzebami, z zastrzeżeniem, że zmiana ta nie może prowadzić do powstania nowych, nieuwzględnionych wcześniej pozycji kosztorysowych. Zmiana taka nie wymaga zgody Ostatecznego Odbiorcy Wsparcia.</w:t>
      </w:r>
    </w:p>
    <w:p w:rsidR="00000000" w:rsidDel="00000000" w:rsidP="00000000" w:rsidRDefault="00000000" w:rsidRPr="00000000" w14:paraId="000000A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Nie są możliwe do wprowadzenia zmiany polegające na przeniesieniu na osoby trzecie obowiązków i praw wynikających z Umowy oraz związanych z nią płatności.</w:t>
      </w:r>
    </w:p>
    <w:p w:rsidR="00000000" w:rsidDel="00000000" w:rsidP="00000000" w:rsidRDefault="00000000" w:rsidRPr="00000000" w14:paraId="000000AE">
      <w:pPr>
        <w:pStyle w:val="Heading2"/>
        <w:rPr/>
      </w:pPr>
      <w:bookmarkStart w:colFirst="0" w:colLast="0" w:name="_heading=h.74ufuwd8bigv" w:id="8"/>
      <w:bookmarkEnd w:id="8"/>
      <w:r w:rsidDel="00000000" w:rsidR="00000000" w:rsidRPr="00000000">
        <w:rPr>
          <w:rtl w:val="0"/>
        </w:rPr>
        <w:t xml:space="preserve">§ 15.Rozwiązanie umowy</w:t>
      </w:r>
    </w:p>
    <w:p w:rsidR="00000000" w:rsidDel="00000000" w:rsidP="00000000" w:rsidRDefault="00000000" w:rsidRPr="00000000" w14:paraId="000000A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Umowa może zostać rozwiązana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rsidR="00000000" w:rsidDel="00000000" w:rsidP="00000000" w:rsidRDefault="00000000" w:rsidRPr="00000000" w14:paraId="000000B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Ostateczny Odbiorca Wsparcia może wypowiedzieć Umowę bez zachowania okresu wypowiedzenia, co skutkuje jej natychmiastowym rozwiązaniem w przypadku, gdy:</w:t>
      </w:r>
    </w:p>
    <w:p w:rsidR="00000000" w:rsidDel="00000000" w:rsidP="00000000" w:rsidRDefault="00000000" w:rsidRPr="00000000" w14:paraId="000000B1">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dopuścił się poważnych nieprawidłowości, w szczególności wykorzystał przekazane środki na cel inny niż określony w Projekcie lub niezgodnie z Umową;</w:t>
      </w:r>
    </w:p>
    <w:p w:rsidR="00000000" w:rsidDel="00000000" w:rsidP="00000000" w:rsidRDefault="00000000" w:rsidRPr="00000000" w14:paraId="000000B2">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złoży lub posłuży się fałszywym oświadczeniem lub podrobionymi, przerobionymi lub stwierdzającymi nieprawdę dokumentami w celu uzyskania dofinansowania w ramach Umowy lub uznania za kwalifikowalne wydatków ponoszonych w ramach Projektu;</w:t>
      </w:r>
    </w:p>
    <w:p w:rsidR="00000000" w:rsidDel="00000000" w:rsidP="00000000" w:rsidRDefault="00000000" w:rsidRPr="00000000" w14:paraId="000000B3">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zaprzestał realizacji Projektu lub w sposób rażący nie wywiązuje się ze swoich obowiązków określonych w Umowie, i pomimo wezwania w terminie 14 dni od dnia doręczenia wezwania, nie usuwa naruszeń;</w:t>
      </w:r>
    </w:p>
    <w:p w:rsidR="00000000" w:rsidDel="00000000" w:rsidP="00000000" w:rsidRDefault="00000000" w:rsidRPr="00000000" w14:paraId="000000B4">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wykorzystał środki w całości lub w części na cel i zakres inny niż określony w Projekcie lub niezgodnie z Umową lub przepisami prawa;</w:t>
      </w:r>
    </w:p>
    <w:p w:rsidR="00000000" w:rsidDel="00000000" w:rsidP="00000000" w:rsidRDefault="00000000" w:rsidRPr="00000000" w14:paraId="000000B5">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odmówił poddania się kontroli lub audytowi Jednostki Wspierającej bądź innych uprawnionych podmiotów do przeprowadzenia kontroli lub audytu na podstawie odrębnych przepisów lub utrudniał ich przeprowadzenie;</w:t>
      </w:r>
    </w:p>
    <w:p w:rsidR="00000000" w:rsidDel="00000000" w:rsidP="00000000" w:rsidRDefault="00000000" w:rsidRPr="00000000" w14:paraId="000000B6">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na etapie ubiegania się lub udzielania dofinansowania lub realizacji Umowy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rsidR="00000000" w:rsidDel="00000000" w:rsidP="00000000" w:rsidRDefault="00000000" w:rsidRPr="00000000" w14:paraId="000000B7">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dopuścił się innych nadużyć finansowych w związku z realizacją Projektu;</w:t>
      </w:r>
    </w:p>
    <w:p w:rsidR="00000000" w:rsidDel="00000000" w:rsidP="00000000" w:rsidRDefault="00000000" w:rsidRPr="00000000" w14:paraId="000000B8">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zaprzestał prowadzenia działalności;</w:t>
      </w:r>
    </w:p>
    <w:p w:rsidR="00000000" w:rsidDel="00000000" w:rsidP="00000000" w:rsidRDefault="00000000" w:rsidRPr="00000000" w14:paraId="000000B9">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dokonał istotnej zmiany Projektu bez zgody OOW;</w:t>
      </w:r>
    </w:p>
    <w:p w:rsidR="00000000" w:rsidDel="00000000" w:rsidP="00000000" w:rsidRDefault="00000000" w:rsidRPr="00000000" w14:paraId="000000BA">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dopuścił się nieprawidłowości oraz nie usunął ich przyczyn i efektów w terminie wskazanym przez podmiot dokonujący kontroli.</w:t>
      </w:r>
    </w:p>
    <w:p w:rsidR="00000000" w:rsidDel="00000000" w:rsidP="00000000" w:rsidRDefault="00000000" w:rsidRPr="00000000" w14:paraId="000000B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OOW może wypowiedzieć Umowę z zachowaniem jednomiesięcznego okresu wypowiedzenia, po upływie którego następuje jego rozwiązanie w przypadku, gdy :</w:t>
      </w:r>
    </w:p>
    <w:p w:rsidR="00000000" w:rsidDel="00000000" w:rsidP="00000000" w:rsidRDefault="00000000" w:rsidRPr="00000000" w14:paraId="000000B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w terminie określonym przez OOW nie usunął stwierdzonych nieprawidłowości, braków lub błędów w ramach Projektu, względnie nie wdrożył rekomendacji zmierzających do zapobieżenia ich wystąpieniu;</w:t>
      </w:r>
    </w:p>
    <w:p w:rsidR="00000000" w:rsidDel="00000000" w:rsidP="00000000" w:rsidRDefault="00000000" w:rsidRPr="00000000" w14:paraId="000000B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dokonał zmian prawno-organizacyjnych w swoim statusie mających lub mogących mieć wpływ na realizację Umowy lub nie poinformował OOW o zamiarze</w:t>
      </w:r>
    </w:p>
    <w:p w:rsidR="00000000" w:rsidDel="00000000" w:rsidP="00000000" w:rsidRDefault="00000000" w:rsidRPr="00000000" w14:paraId="000000B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dokonania zmian prawno-organizacyjnych w jego statusie, które mogą mieć wpływ na realizację Projektu;</w:t>
      </w:r>
    </w:p>
    <w:p w:rsidR="00000000" w:rsidDel="00000000" w:rsidP="00000000" w:rsidRDefault="00000000" w:rsidRPr="00000000" w14:paraId="000000B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nie dokonuje promocji Projektu w sposób określony w Umowie;</w:t>
      </w:r>
    </w:p>
    <w:p w:rsidR="00000000" w:rsidDel="00000000" w:rsidP="00000000" w:rsidRDefault="00000000" w:rsidRPr="00000000" w14:paraId="000000C0">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trakcie realizacji Projektu wystąpią inne naruszenia Umowy lub wystąpią inne okoliczności, które czynią niemożliwą lub niecelową dalszą realizację postanowień Umowy;</w:t>
      </w:r>
    </w:p>
    <w:p w:rsidR="00000000" w:rsidDel="00000000" w:rsidP="00000000" w:rsidRDefault="00000000" w:rsidRPr="00000000" w14:paraId="000000C1">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nie złożył informacji i wyjaśnień na temat realizacji Projektu;</w:t>
      </w:r>
    </w:p>
    <w:p w:rsidR="00000000" w:rsidDel="00000000" w:rsidP="00000000" w:rsidRDefault="00000000" w:rsidRPr="00000000" w14:paraId="000000C2">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zachodzi podejrzenie wystąpienia nadużycia finansowego, korupcji lub innego przestępstwa na szkodę budżetu UE.</w:t>
      </w:r>
    </w:p>
    <w:p w:rsidR="00000000" w:rsidDel="00000000" w:rsidP="00000000" w:rsidRDefault="00000000" w:rsidRPr="00000000" w14:paraId="000000C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 związku z niewykonaniem lub nienależytym wykonaniem przez Grantobiorcę obowiązków wynikających z Umowy w zakresie, w jakim takie niewykonanie lub nienależyte wykonanie jest wynikiem działania siły wyższej lub okoliczności niezależnych od Grantobiorcy, jest on zobowiązany do niezwłocznego poinformowania Ostatecznego Odbiorcy Wsparcia o fakcie wystąpienia siły wyższej lub okoliczności niezależnych, udowodnienia wystąpienia siły wyższej lub okoliczności niezależnych oraz wskazania wpływu, jaki zdarzenie miało na przebieg realizacji Projektu.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zostanie zobowiązany do zwrotu otrzymanych środków, które nie zostały rozliczone. </w:t>
      </w:r>
    </w:p>
    <w:p w:rsidR="00000000" w:rsidDel="00000000" w:rsidP="00000000" w:rsidRDefault="00000000" w:rsidRPr="00000000" w14:paraId="000000C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Ostateczny Odbiorca Wsparcia nie ponosi odpowiedzialności za szkodę w przypadku rozwiązania Umowy z przyczyn zależnych od Grantobiorcy. </w:t>
      </w:r>
    </w:p>
    <w:p w:rsidR="00000000" w:rsidDel="00000000" w:rsidP="00000000" w:rsidRDefault="00000000" w:rsidRPr="00000000" w14:paraId="000000C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Umowa może zostać rozwiązana w drodze pisemnego porozumienia Stron na wniosek każdej ze Stron w przypadku wystąpienia okoliczności, które uniemożliwiają dalsze wykonywanie postanowień zawartych w Umowie. </w:t>
      </w:r>
    </w:p>
    <w:p w:rsidR="00000000" w:rsidDel="00000000" w:rsidP="00000000" w:rsidRDefault="00000000" w:rsidRPr="00000000" w14:paraId="000000C6">
      <w:pPr>
        <w:pStyle w:val="Heading2"/>
        <w:rPr/>
      </w:pPr>
      <w:r w:rsidDel="00000000" w:rsidR="00000000" w:rsidRPr="00000000">
        <w:rPr>
          <w:rtl w:val="0"/>
        </w:rPr>
        <w:t xml:space="preserve">§ 16.Rozstrzyganie sporów</w:t>
      </w:r>
    </w:p>
    <w:p w:rsidR="00000000" w:rsidDel="00000000" w:rsidP="00000000" w:rsidRDefault="00000000" w:rsidRPr="00000000" w14:paraId="000000C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Spory związane z realizacją Umowy Strony będą starały się rozwiązać polubownie.</w:t>
      </w:r>
    </w:p>
    <w:p w:rsidR="00000000" w:rsidDel="00000000" w:rsidP="00000000" w:rsidRDefault="00000000" w:rsidRPr="00000000" w14:paraId="000000C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6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Wszelkie wątpliwości związane z realizacją Umowy wyjaśniane będą przez Strony Umowy w formie pisemnej.</w:t>
      </w:r>
    </w:p>
    <w:p w:rsidR="00000000" w:rsidDel="00000000" w:rsidP="00000000" w:rsidRDefault="00000000" w:rsidRPr="00000000" w14:paraId="000000C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Grantobiorca nie może przekazywać praw i obowiązków wynikających z Umowy ani w całości, ani w części, osobom trzecim bez uprzedniej pisemnej zgody Ostatecznego Odbiorcy Wsparcia.</w:t>
      </w:r>
    </w:p>
    <w:p w:rsidR="00000000" w:rsidDel="00000000" w:rsidP="00000000" w:rsidRDefault="00000000" w:rsidRPr="00000000" w14:paraId="000000C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Wszelkie spory powstałe na gruncie niniejszej Umowy lub w związku z nią będą podlegały rozstrzygnięciom sądów powszechnych właściwych miejscowo dla siedziby Ostatecznego Odbiorcy Wsparcia.</w:t>
      </w:r>
    </w:p>
    <w:p w:rsidR="00000000" w:rsidDel="00000000" w:rsidP="00000000" w:rsidRDefault="00000000" w:rsidRPr="00000000" w14:paraId="000000CB">
      <w:pPr>
        <w:pStyle w:val="Heading2"/>
        <w:rPr/>
      </w:pPr>
      <w:r w:rsidDel="00000000" w:rsidR="00000000" w:rsidRPr="00000000">
        <w:rPr>
          <w:rtl w:val="0"/>
        </w:rPr>
        <w:t xml:space="preserve">§ 17.Postanowienia końcowe</w:t>
      </w:r>
    </w:p>
    <w:p w:rsidR="00000000" w:rsidDel="00000000" w:rsidP="00000000" w:rsidRDefault="00000000" w:rsidRPr="00000000" w14:paraId="000000CC">
      <w:pPr>
        <w:widowControl w:val="0"/>
        <w:spacing w:after="6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 sprawach nieuregulowanych Umową zastosowanie mają odpowiednie reguły i warunki wynikające z Planu rozwojowego, a także odpowiednie przepisy prawa unijnego i prawa krajowego, w szczególności:</w:t>
      </w:r>
    </w:p>
    <w:p w:rsidR="00000000" w:rsidDel="00000000" w:rsidP="00000000" w:rsidRDefault="00000000" w:rsidRPr="00000000" w14:paraId="000000C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567"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Rozporządzenie 2021/241;</w:t>
      </w:r>
    </w:p>
    <w:p w:rsidR="00000000" w:rsidDel="00000000" w:rsidP="00000000" w:rsidRDefault="00000000" w:rsidRPr="00000000" w14:paraId="000000CE">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Ufp;</w:t>
      </w:r>
    </w:p>
    <w:p w:rsidR="00000000" w:rsidDel="00000000" w:rsidP="00000000" w:rsidRDefault="00000000" w:rsidRPr="00000000" w14:paraId="000000CF">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 rozwojowy lub KPO; </w:t>
      </w:r>
    </w:p>
    <w:p w:rsidR="00000000" w:rsidDel="00000000" w:rsidP="00000000" w:rsidRDefault="00000000" w:rsidRPr="00000000" w14:paraId="000000D0">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Ustawa;</w:t>
      </w:r>
    </w:p>
    <w:p w:rsidR="00000000" w:rsidDel="00000000" w:rsidP="00000000" w:rsidRDefault="00000000" w:rsidRPr="00000000" w14:paraId="000000D1">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Rozporządzenie finansowe UE;</w:t>
      </w:r>
    </w:p>
    <w:p w:rsidR="00000000" w:rsidDel="00000000" w:rsidP="00000000" w:rsidRDefault="00000000" w:rsidRPr="00000000" w14:paraId="000000D2">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Ustawa z dnia 4 września 1997 r. o działach administracji rządowej (Dz. U. z 2024 r. poz. 1370 ze zm.); </w:t>
      </w:r>
    </w:p>
    <w:p w:rsidR="00000000" w:rsidDel="00000000" w:rsidP="00000000" w:rsidRDefault="00000000" w:rsidRPr="00000000" w14:paraId="000000D3">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Wytyczne ministra właściwego do spraw rozwoju regionalnego wydanych na podstawie art. 14le ust. 2 pkt 4 ustawy, zwane „wytycznymi” (</w:t>
      </w:r>
      <w:hyperlink r:id="rId12">
        <w:r w:rsidDel="00000000" w:rsidR="00000000" w:rsidRPr="00000000">
          <w:rPr>
            <w:rFonts w:ascii="Calibri" w:cs="Calibri" w:eastAsia="Calibri" w:hAnsi="Calibri"/>
            <w:color w:val="0000ff"/>
            <w:sz w:val="24"/>
            <w:szCs w:val="24"/>
            <w:u w:val="single"/>
            <w:rtl w:val="0"/>
          </w:rPr>
          <w:t xml:space="preserve">https://www.gov.pl/web/planodbudowy/wytyczne</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D4">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Decyzja wykonawcza Rady w sprawie zatwierdzenia oceny planu odbudowy i zwiększania odporności Polski (COM(2022) 268 final), przyjęta w dniu 17 czerwca 2022 r.; </w:t>
      </w:r>
    </w:p>
    <w:p w:rsidR="00000000" w:rsidDel="00000000" w:rsidP="00000000" w:rsidRDefault="00000000" w:rsidRPr="00000000" w14:paraId="000000D5">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Ustalenia operacyjne, o których mowa w art. 20 ust. 6 rozporządzenia 2021/241;</w:t>
      </w:r>
    </w:p>
    <w:p w:rsidR="00000000" w:rsidDel="00000000" w:rsidP="00000000" w:rsidRDefault="00000000" w:rsidRPr="00000000" w14:paraId="000000D6">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Dyrektywa 2014/24/UE z dnia 26 lutego 2014 r. w sprawie zamówień publicznych uchylająca dyrektywę 2004/18/WE (Dz. Urz. UE 2014 L 94,str.65, z 28 marca 2014 z poźn. zm.);</w:t>
      </w:r>
    </w:p>
    <w:p w:rsidR="00000000" w:rsidDel="00000000" w:rsidP="00000000" w:rsidRDefault="00000000" w:rsidRPr="00000000" w14:paraId="000000D7">
      <w:pPr>
        <w:numPr>
          <w:ilvl w:val="0"/>
          <w:numId w:val="24"/>
        </w:numPr>
        <w:spacing w:after="0" w:line="360" w:lineRule="auto"/>
        <w:ind w:left="56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Ustawa z dnia 23 kwietnia 1964 r. - Kodeks cywilny (Dz. U. z 2024 r. poz. 1061, z późn. zm.).</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Datą zawarcia Umowy jest data złożenia podpisu przez ostatnią ze Stron.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Umowa wchodzi w życie z dniem zawarcia.</w:t>
      </w:r>
    </w:p>
    <w:p w:rsidR="00000000" w:rsidDel="00000000" w:rsidP="00000000" w:rsidRDefault="00000000" w:rsidRPr="00000000" w14:paraId="000000DA">
      <w:pPr>
        <w:pStyle w:val="Heading2"/>
        <w:rPr/>
      </w:pPr>
      <w:r w:rsidDel="00000000" w:rsidR="00000000" w:rsidRPr="00000000">
        <w:rPr>
          <w:rtl w:val="0"/>
        </w:rPr>
        <w:t xml:space="preserve">§ 18.Załączniki</w:t>
      </w:r>
    </w:p>
    <w:p w:rsidR="00000000" w:rsidDel="00000000" w:rsidP="00000000" w:rsidRDefault="00000000" w:rsidRPr="00000000" w14:paraId="000000DB">
      <w:pPr>
        <w:keepNext w:val="1"/>
        <w:spacing w:after="360" w:befor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Integralną część umowy stanowią następujące załączniki:</w:t>
      </w:r>
    </w:p>
    <w:p w:rsidR="00000000" w:rsidDel="00000000" w:rsidP="00000000" w:rsidRDefault="00000000" w:rsidRPr="00000000" w14:paraId="000000DC">
      <w:pPr>
        <w:numPr>
          <w:ilvl w:val="0"/>
          <w:numId w:val="15"/>
        </w:numPr>
        <w:tabs>
          <w:tab w:val="left" w:leader="none" w:pos="426"/>
        </w:tabs>
        <w:spacing w:after="0" w:line="36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załącznik nr 1: Dokumenty poświadczające prawidłową reprezentację Ostatecznego Odbiorcy Wsparcia;</w:t>
      </w:r>
    </w:p>
    <w:p w:rsidR="00000000" w:rsidDel="00000000" w:rsidP="00000000" w:rsidRDefault="00000000" w:rsidRPr="00000000" w14:paraId="000000DD">
      <w:pPr>
        <w:numPr>
          <w:ilvl w:val="0"/>
          <w:numId w:val="15"/>
        </w:numPr>
        <w:tabs>
          <w:tab w:val="left" w:leader="none" w:pos="426"/>
        </w:tabs>
        <w:spacing w:after="0" w:line="360" w:lineRule="auto"/>
        <w:ind w:left="720" w:hanging="360"/>
        <w:rPr>
          <w:rFonts w:ascii="Calibri" w:cs="Calibri" w:eastAsia="Calibri" w:hAnsi="Calibri"/>
          <w:color w:val="000000"/>
          <w:sz w:val="24"/>
          <w:szCs w:val="24"/>
        </w:rPr>
      </w:pPr>
      <w:bookmarkStart w:colFirst="0" w:colLast="0" w:name="_heading=h.w1t0l52xtonw" w:id="9"/>
      <w:bookmarkEnd w:id="9"/>
      <w:r w:rsidDel="00000000" w:rsidR="00000000" w:rsidRPr="00000000">
        <w:rPr>
          <w:rFonts w:ascii="Calibri" w:cs="Calibri" w:eastAsia="Calibri" w:hAnsi="Calibri"/>
          <w:color w:val="000000"/>
          <w:sz w:val="24"/>
          <w:szCs w:val="24"/>
          <w:rtl w:val="0"/>
        </w:rPr>
        <w:t xml:space="preserve">załącznik nr 2: Dokumenty poświadczające prawidłową reprezentację Grantobiorcy;</w:t>
      </w:r>
    </w:p>
    <w:p w:rsidR="00000000" w:rsidDel="00000000" w:rsidP="00000000" w:rsidRDefault="00000000" w:rsidRPr="00000000" w14:paraId="000000DE">
      <w:pPr>
        <w:numPr>
          <w:ilvl w:val="0"/>
          <w:numId w:val="15"/>
        </w:numPr>
        <w:tabs>
          <w:tab w:val="left" w:leader="none" w:pos="426"/>
        </w:tabs>
        <w:spacing w:after="0"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Załącznik nr 3: Wniosek o grant.</w:t>
      </w:r>
    </w:p>
    <w:p w:rsidR="00000000" w:rsidDel="00000000" w:rsidP="00000000" w:rsidRDefault="00000000" w:rsidRPr="00000000" w14:paraId="000000DF">
      <w:pPr>
        <w:widowControl w:val="0"/>
        <w:tabs>
          <w:tab w:val="left" w:leader="none" w:pos="4536"/>
        </w:tabs>
        <w:spacing w:after="360" w:before="1080" w:line="36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 imieniu Ostatecznego Odbiorcy Wsparcia:</w:t>
        <w:tab/>
        <w:t xml:space="preserve">W imieniu Grantobiorcy:</w:t>
      </w:r>
      <w:r w:rsidDel="00000000" w:rsidR="00000000" w:rsidRPr="00000000">
        <w:rPr>
          <w:rtl w:val="0"/>
        </w:rPr>
      </w:r>
    </w:p>
    <w:p w:rsidR="00000000" w:rsidDel="00000000" w:rsidP="00000000" w:rsidRDefault="00000000" w:rsidRPr="00000000" w14:paraId="000000E0">
      <w:pPr>
        <w:widowControl w:val="0"/>
        <w:tabs>
          <w:tab w:val="left" w:leader="none" w:pos="4678"/>
        </w:tabs>
        <w:spacing w:after="0" w:before="360" w:line="36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/podpisano elektronicznie/</w:t>
        <w:tab/>
        <w:t xml:space="preserve">/podpisano elektronicznie/</w:t>
      </w:r>
    </w:p>
    <w:p w:rsidR="00000000" w:rsidDel="00000000" w:rsidP="00000000" w:rsidRDefault="00000000" w:rsidRPr="00000000" w14:paraId="000000E1">
      <w:pPr>
        <w:keepNext w:val="1"/>
        <w:spacing w:after="0" w:before="0" w:line="360" w:lineRule="auto"/>
        <w:rPr>
          <w:rFonts w:ascii="Calibri" w:cs="Calibri" w:eastAsia="Calibri" w:hAnsi="Calibri"/>
        </w:rPr>
      </w:pPr>
      <w:r w:rsidDel="00000000" w:rsidR="00000000" w:rsidRPr="00000000">
        <w:rPr>
          <w:rFonts w:ascii="Calibri" w:cs="Calibri" w:eastAsia="Calibri" w:hAnsi="Calibri"/>
          <w:rtl w:val="0"/>
        </w:rPr>
        <w:t xml:space="preserve">Podpisy:</w:t>
      </w:r>
    </w:p>
    <w:p w:rsidR="00000000" w:rsidDel="00000000" w:rsidP="00000000" w:rsidRDefault="00000000" w:rsidRPr="00000000" w14:paraId="000000E2">
      <w:pPr>
        <w:spacing w:after="0" w:line="240"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E3">
      <w:pPr>
        <w:keepNext w:val="1"/>
        <w:spacing w:after="0" w:before="0" w:line="36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załącznik nr 1: Dokumenty poświadczające prawidłową reprezentację Ostatecznego Odbiorcy Wsparcia</w:t>
      </w:r>
      <w:r w:rsidDel="00000000" w:rsidR="00000000" w:rsidRPr="00000000">
        <w:rPr>
          <w:rFonts w:ascii="Calibri" w:cs="Calibri" w:eastAsia="Calibri" w:hAnsi="Calibri"/>
          <w:color w:val="000000"/>
          <w:sz w:val="24"/>
          <w:szCs w:val="24"/>
        </w:rPr>
        <w:drawing>
          <wp:inline distB="0" distT="0" distL="0" distR="0">
            <wp:extent cx="5756275" cy="8150225"/>
            <wp:effectExtent b="0" l="0" r="0" t="0"/>
            <wp:docPr descr="Obraz zawierający tekst, zrzut ekranu, Czcionka, numer&#10;&#10;Zawartość wygenerowana przez AI może być niepoprawna." id="1" name="image3.png"/>
            <a:graphic>
              <a:graphicData uri="http://schemas.openxmlformats.org/drawingml/2006/picture">
                <pic:pic>
                  <pic:nvPicPr>
                    <pic:cNvPr descr="Obraz zawierający tekst, zrzut ekranu, Czcionka, numer&#10;&#10;Zawartość wygenerowana przez AI może być niepoprawna." id="0" name="image3.png"/>
                    <pic:cNvPicPr preferRelativeResize="0"/>
                  </pic:nvPicPr>
                  <pic:blipFill>
                    <a:blip r:embed="rId13"/>
                    <a:srcRect b="0" l="0" r="0" t="0"/>
                    <a:stretch>
                      <a:fillRect/>
                    </a:stretch>
                  </pic:blipFill>
                  <pic:spPr>
                    <a:xfrm>
                      <a:off x="0" y="0"/>
                      <a:ext cx="5756275" cy="8150225"/>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keepNext w:val="1"/>
        <w:spacing w:after="0" w:before="0" w:line="36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Pr>
        <w:drawing>
          <wp:inline distB="0" distT="0" distL="0" distR="0">
            <wp:extent cx="5756275" cy="8150225"/>
            <wp:effectExtent b="0" l="0" r="0" t="0"/>
            <wp:docPr id="3"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756275" cy="8150225"/>
                    </a:xfrm>
                    <a:prstGeom prst="rect"/>
                    <a:ln/>
                  </pic:spPr>
                </pic:pic>
              </a:graphicData>
            </a:graphic>
          </wp:inline>
        </w:drawing>
      </w:r>
      <w:r w:rsidDel="00000000" w:rsidR="00000000" w:rsidRPr="00000000">
        <w:rPr>
          <w:rFonts w:ascii="Calibri" w:cs="Calibri" w:eastAsia="Calibri" w:hAnsi="Calibri"/>
          <w:color w:val="000000"/>
          <w:sz w:val="24"/>
          <w:szCs w:val="24"/>
        </w:rPr>
        <w:drawing>
          <wp:inline distB="0" distT="0" distL="0" distR="0">
            <wp:extent cx="5756275" cy="8150225"/>
            <wp:effectExtent b="0" l="0" r="0" t="0"/>
            <wp:docPr id="2"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756275" cy="8150225"/>
                    </a:xfrm>
                    <a:prstGeom prst="rect"/>
                    <a:ln/>
                  </pic:spPr>
                </pic:pic>
              </a:graphicData>
            </a:graphic>
          </wp:inline>
        </w:drawing>
      </w:r>
      <w:r w:rsidDel="00000000" w:rsidR="00000000" w:rsidRPr="00000000">
        <w:rPr>
          <w:rFonts w:ascii="Calibri" w:cs="Calibri" w:eastAsia="Calibri" w:hAnsi="Calibri"/>
          <w:color w:val="000000"/>
          <w:sz w:val="24"/>
          <w:szCs w:val="24"/>
        </w:rPr>
        <w:drawing>
          <wp:inline distB="0" distT="0" distL="0" distR="0">
            <wp:extent cx="5756275" cy="8150225"/>
            <wp:effectExtent b="0" l="0" r="0" t="0"/>
            <wp:docPr id="5"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756275" cy="8150225"/>
                    </a:xfrm>
                    <a:prstGeom prst="rect"/>
                    <a:ln/>
                  </pic:spPr>
                </pic:pic>
              </a:graphicData>
            </a:graphic>
          </wp:inline>
        </w:drawing>
      </w:r>
      <w:r w:rsidDel="00000000" w:rsidR="00000000" w:rsidRPr="00000000">
        <w:rPr>
          <w:rFonts w:ascii="Calibri" w:cs="Calibri" w:eastAsia="Calibri" w:hAnsi="Calibri"/>
          <w:color w:val="000000"/>
          <w:sz w:val="24"/>
          <w:szCs w:val="24"/>
        </w:rPr>
        <w:drawing>
          <wp:inline distB="0" distT="0" distL="0" distR="0">
            <wp:extent cx="5756275" cy="8150225"/>
            <wp:effectExtent b="0" l="0" r="0" t="0"/>
            <wp:docPr id="4"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756275" cy="8150225"/>
                    </a:xfrm>
                    <a:prstGeom prst="rect"/>
                    <a:ln/>
                  </pic:spPr>
                </pic:pic>
              </a:graphicData>
            </a:graphic>
          </wp:inline>
        </w:drawing>
      </w:r>
      <w:r w:rsidDel="00000000" w:rsidR="00000000" w:rsidRPr="00000000">
        <w:rPr>
          <w:rFonts w:ascii="Calibri" w:cs="Calibri" w:eastAsia="Calibri" w:hAnsi="Calibri"/>
          <w:color w:val="000000"/>
          <w:sz w:val="24"/>
          <w:szCs w:val="24"/>
        </w:rPr>
        <w:drawing>
          <wp:inline distB="0" distT="0" distL="0" distR="0">
            <wp:extent cx="5756275" cy="8150225"/>
            <wp:effectExtent b="0" l="0" r="0" t="0"/>
            <wp:docPr id="7"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756275" cy="8150225"/>
                    </a:xfrm>
                    <a:prstGeom prst="rect"/>
                    <a:ln/>
                  </pic:spPr>
                </pic:pic>
              </a:graphicData>
            </a:graphic>
          </wp:inline>
        </w:drawing>
      </w:r>
      <w:r w:rsidDel="00000000" w:rsidR="00000000" w:rsidRPr="00000000">
        <w:rPr>
          <w:rFonts w:ascii="Calibri" w:cs="Calibri" w:eastAsia="Calibri" w:hAnsi="Calibri"/>
          <w:color w:val="000000"/>
          <w:sz w:val="24"/>
          <w:szCs w:val="24"/>
        </w:rPr>
        <w:drawing>
          <wp:inline distB="0" distT="0" distL="0" distR="0">
            <wp:extent cx="5756275" cy="8150225"/>
            <wp:effectExtent b="0" l="0" r="0" t="0"/>
            <wp:docPr id="6"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756275" cy="8150225"/>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spacing w:after="0" w:line="240" w:lineRule="auto"/>
        <w:rPr>
          <w:rFonts w:ascii="Calibri" w:cs="Calibri" w:eastAsia="Calibri" w:hAnsi="Calibri"/>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6">
      <w:pPr>
        <w:keepNext w:val="1"/>
        <w:spacing w:after="0" w:before="0" w:line="36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załącznik nr 2: Dokumenty poświadczające prawidłową reprezentację Grantobiorcy</w:t>
      </w:r>
    </w:p>
    <w:p w:rsidR="00000000" w:rsidDel="00000000" w:rsidP="00000000" w:rsidRDefault="00000000" w:rsidRPr="00000000" w14:paraId="000000E7">
      <w:pPr>
        <w:spacing w:after="0" w:line="240" w:lineRule="auto"/>
        <w:rPr>
          <w:rFonts w:ascii="Calibri" w:cs="Calibri" w:eastAsia="Calibri" w:hAnsi="Calibri"/>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8">
      <w:pPr>
        <w:keepNext w:val="1"/>
        <w:spacing w:after="0" w:before="0"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Załącznik nr 3: Wniosek o grant</w:t>
      </w:r>
    </w:p>
    <w:p w:rsidR="00000000" w:rsidDel="00000000" w:rsidP="00000000" w:rsidRDefault="00000000" w:rsidRPr="00000000" w14:paraId="000000E9">
      <w:pPr>
        <w:keepNext w:val="1"/>
        <w:spacing w:after="360" w:before="0" w:line="360" w:lineRule="auto"/>
        <w:rPr>
          <w:rFonts w:ascii="Calibri" w:cs="Calibri" w:eastAsia="Calibri" w:hAnsi="Calibri"/>
        </w:rPr>
      </w:pPr>
      <w:r w:rsidDel="00000000" w:rsidR="00000000" w:rsidRPr="00000000">
        <w:rPr>
          <w:rtl w:val="0"/>
        </w:rPr>
      </w:r>
    </w:p>
    <w:sectPr>
      <w:headerReference r:id="rId20" w:type="default"/>
      <w:footerReference r:id="rId21"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b579a"/>
        <w:sz w:val="22"/>
        <w:szCs w:val="22"/>
        <w:u w:val="none"/>
        <w:shd w:fill="e6e6e6"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Umowa o powierzenie grantu nr </w:t>
    </w:r>
    <w:r w:rsidDel="00000000" w:rsidR="00000000" w:rsidRPr="00000000">
      <w:rPr>
        <w:rFonts w:ascii="Calibri" w:cs="Calibri" w:eastAsia="Calibri" w:hAnsi="Calibri"/>
        <w:b w:val="0"/>
        <w:bCs w:val="0"/>
        <w:i w:val="0"/>
        <w:iCs w:val="0"/>
        <w:smallCaps w:val="0"/>
        <w:strike w:val="0"/>
        <w:color w:val="000000"/>
        <w:sz w:val="22"/>
        <w:szCs w:val="22"/>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superscript"/>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Przez kontrolę rozumie się również audyty upoważnionych organów audytowych na podstawie odrębnych przepisów i upoważnień.</w:t>
      </w:r>
      <w:r w:rsidDel="00000000" w:rsidR="00000000" w:rsidRPr="00000000">
        <w:rPr>
          <w:rtl w:val="0"/>
        </w:rPr>
      </w:r>
    </w:p>
  </w:footnote>
  <w:footnote w:id="1">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Dotyczy jeśli Grantobiorca przetwarza dane osobowe w związku z realizacją Projektu</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759450" cy="340360"/>
          <wp:effectExtent b="0" l="0" r="0" t="0"/>
          <wp:docPr descr="obraz" id="8" name="image1.png"/>
          <a:graphic>
            <a:graphicData uri="http://schemas.openxmlformats.org/drawingml/2006/picture">
              <pic:pic>
                <pic:nvPicPr>
                  <pic:cNvPr descr="obraz" id="0" name="image1.png"/>
                  <pic:cNvPicPr preferRelativeResize="0"/>
                </pic:nvPicPr>
                <pic:blipFill>
                  <a:blip r:embed="rId1"/>
                  <a:srcRect b="0" l="0" r="0" t="0"/>
                  <a:stretch>
                    <a:fillRect/>
                  </a:stretch>
                </pic:blipFill>
                <pic:spPr>
                  <a:xfrm>
                    <a:off x="0" y="0"/>
                    <a:ext cx="5759450" cy="3403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644" w:hanging="359.9999999999999"/>
      </w:pPr>
      <w:rPr>
        <w:rFonts w:ascii="Calibri" w:cs="Calibri" w:eastAsia="Calibri" w:hAnsi="Calibri"/>
        <w:b w:val="0"/>
        <w:bCs w:val="0"/>
        <w:i w:val="0"/>
        <w:i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87" w:hanging="427.99999999999994"/>
      </w:pPr>
      <w:rPr>
        <w:rFonts w:ascii="Calibri" w:cs="Calibri" w:eastAsia="Calibri" w:hAnsi="Calibri"/>
        <w:b w:val="0"/>
        <w:bCs w:val="0"/>
        <w:i w:val="0"/>
        <w:iCs w:val="0"/>
        <w:sz w:val="24"/>
        <w:szCs w:val="24"/>
      </w:rPr>
    </w:lvl>
    <w:lvl w:ilvl="1">
      <w:start w:val="1"/>
      <w:numFmt w:val="decimal"/>
      <w:lvlText w:val="%2)"/>
      <w:lvlJc w:val="left"/>
      <w:pPr>
        <w:ind w:left="1068" w:hanging="281.0000000000001"/>
      </w:pPr>
      <w:rPr>
        <w:rFonts w:ascii="Calibri" w:cs="Calibri" w:eastAsia="Calibri" w:hAnsi="Calibri"/>
        <w:sz w:val="22"/>
        <w:szCs w:val="22"/>
      </w:rPr>
    </w:lvl>
    <w:lvl w:ilvl="2">
      <w:start w:val="0"/>
      <w:numFmt w:val="bullet"/>
      <w:lvlText w:val="•"/>
      <w:lvlJc w:val="left"/>
      <w:pPr>
        <w:ind w:left="1080" w:hanging="281"/>
      </w:pPr>
      <w:rPr/>
    </w:lvl>
    <w:lvl w:ilvl="3">
      <w:start w:val="0"/>
      <w:numFmt w:val="bullet"/>
      <w:lvlText w:val="•"/>
      <w:lvlJc w:val="left"/>
      <w:pPr>
        <w:ind w:left="1220" w:hanging="281"/>
      </w:pPr>
      <w:rPr/>
    </w:lvl>
    <w:lvl w:ilvl="4">
      <w:start w:val="0"/>
      <w:numFmt w:val="bullet"/>
      <w:lvlText w:val="•"/>
      <w:lvlJc w:val="left"/>
      <w:pPr>
        <w:ind w:left="2540" w:hanging="281"/>
      </w:pPr>
      <w:rPr/>
    </w:lvl>
    <w:lvl w:ilvl="5">
      <w:start w:val="0"/>
      <w:numFmt w:val="bullet"/>
      <w:lvlText w:val="•"/>
      <w:lvlJc w:val="left"/>
      <w:pPr>
        <w:ind w:left="3860" w:hanging="281"/>
      </w:pPr>
      <w:rPr/>
    </w:lvl>
    <w:lvl w:ilvl="6">
      <w:start w:val="0"/>
      <w:numFmt w:val="bullet"/>
      <w:lvlText w:val="•"/>
      <w:lvlJc w:val="left"/>
      <w:pPr>
        <w:ind w:left="5180" w:hanging="281"/>
      </w:pPr>
      <w:rPr/>
    </w:lvl>
    <w:lvl w:ilvl="7">
      <w:start w:val="0"/>
      <w:numFmt w:val="bullet"/>
      <w:lvlText w:val="•"/>
      <w:lvlJc w:val="left"/>
      <w:pPr>
        <w:ind w:left="6500" w:hanging="281"/>
      </w:pPr>
      <w:rPr/>
    </w:lvl>
    <w:lvl w:ilvl="8">
      <w:start w:val="0"/>
      <w:numFmt w:val="bullet"/>
      <w:lvlText w:val="•"/>
      <w:lvlJc w:val="left"/>
      <w:pPr>
        <w:ind w:left="7820" w:hanging="281"/>
      </w:pPr>
      <w:rPr/>
    </w:lvl>
  </w:abstractNum>
  <w:abstractNum w:abstractNumId="5">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87" w:hanging="427.99999999999994"/>
      </w:pPr>
      <w:rPr>
        <w:rFonts w:ascii="Calibri" w:cs="Calibri" w:eastAsia="Calibri" w:hAnsi="Calibri"/>
        <w:b w:val="0"/>
        <w:bCs w:val="0"/>
        <w:i w:val="0"/>
        <w:iCs w:val="0"/>
        <w:sz w:val="24"/>
        <w:szCs w:val="24"/>
      </w:rPr>
    </w:lvl>
    <w:lvl w:ilvl="1">
      <w:start w:val="1"/>
      <w:numFmt w:val="decimal"/>
      <w:lvlText w:val="%2)"/>
      <w:lvlJc w:val="left"/>
      <w:pPr>
        <w:ind w:left="1068" w:hanging="281.0000000000001"/>
      </w:pPr>
      <w:rPr>
        <w:rFonts w:ascii="Calibri" w:cs="Calibri" w:eastAsia="Calibri" w:hAnsi="Calibri"/>
        <w:sz w:val="22"/>
        <w:szCs w:val="22"/>
      </w:rPr>
    </w:lvl>
    <w:lvl w:ilvl="2">
      <w:start w:val="0"/>
      <w:numFmt w:val="bullet"/>
      <w:lvlText w:val="•"/>
      <w:lvlJc w:val="left"/>
      <w:pPr>
        <w:ind w:left="1080" w:hanging="281"/>
      </w:pPr>
      <w:rPr/>
    </w:lvl>
    <w:lvl w:ilvl="3">
      <w:start w:val="0"/>
      <w:numFmt w:val="bullet"/>
      <w:lvlText w:val="•"/>
      <w:lvlJc w:val="left"/>
      <w:pPr>
        <w:ind w:left="1220" w:hanging="281"/>
      </w:pPr>
      <w:rPr/>
    </w:lvl>
    <w:lvl w:ilvl="4">
      <w:start w:val="0"/>
      <w:numFmt w:val="bullet"/>
      <w:lvlText w:val="•"/>
      <w:lvlJc w:val="left"/>
      <w:pPr>
        <w:ind w:left="2540" w:hanging="281"/>
      </w:pPr>
      <w:rPr/>
    </w:lvl>
    <w:lvl w:ilvl="5">
      <w:start w:val="0"/>
      <w:numFmt w:val="bullet"/>
      <w:lvlText w:val="•"/>
      <w:lvlJc w:val="left"/>
      <w:pPr>
        <w:ind w:left="3860" w:hanging="281"/>
      </w:pPr>
      <w:rPr/>
    </w:lvl>
    <w:lvl w:ilvl="6">
      <w:start w:val="0"/>
      <w:numFmt w:val="bullet"/>
      <w:lvlText w:val="•"/>
      <w:lvlJc w:val="left"/>
      <w:pPr>
        <w:ind w:left="5180" w:hanging="281"/>
      </w:pPr>
      <w:rPr/>
    </w:lvl>
    <w:lvl w:ilvl="7">
      <w:start w:val="0"/>
      <w:numFmt w:val="bullet"/>
      <w:lvlText w:val="•"/>
      <w:lvlJc w:val="left"/>
      <w:pPr>
        <w:ind w:left="6500" w:hanging="281"/>
      </w:pPr>
      <w:rPr/>
    </w:lvl>
    <w:lvl w:ilvl="8">
      <w:start w:val="0"/>
      <w:numFmt w:val="bullet"/>
      <w:lvlText w:val="•"/>
      <w:lvlJc w:val="left"/>
      <w:pPr>
        <w:ind w:left="7820" w:hanging="281"/>
      </w:pPr>
      <w:rPr/>
    </w:lvl>
  </w:abstractNum>
  <w:abstractNum w:abstractNumId="8">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36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17" w:hanging="360"/>
      </w:pPr>
      <w:rPr>
        <w:b w:val="0"/>
        <w:bCs w:val="0"/>
        <w:i w:val="0"/>
        <w:iCs w:val="0"/>
      </w:rPr>
    </w:lvl>
    <w:lvl w:ilvl="1">
      <w:start w:val="1"/>
      <w:numFmt w:val="lowerLetter"/>
      <w:lvlText w:val="%2."/>
      <w:lvlJc w:val="left"/>
      <w:pPr>
        <w:ind w:left="1437" w:hanging="360"/>
      </w:pPr>
      <w:rPr/>
    </w:lvl>
    <w:lvl w:ilvl="2">
      <w:start w:val="1"/>
      <w:numFmt w:val="lowerRoman"/>
      <w:lvlText w:val="%3."/>
      <w:lvlJc w:val="right"/>
      <w:pPr>
        <w:ind w:left="2157" w:hanging="180"/>
      </w:pPr>
      <w:rPr/>
    </w:lvl>
    <w:lvl w:ilvl="3">
      <w:start w:val="1"/>
      <w:numFmt w:val="decimal"/>
      <w:lvlText w:val="%4."/>
      <w:lvlJc w:val="left"/>
      <w:pPr>
        <w:ind w:left="2877" w:hanging="360"/>
      </w:pPr>
      <w:rPr/>
    </w:lvl>
    <w:lvl w:ilvl="4">
      <w:start w:val="1"/>
      <w:numFmt w:val="lowerLetter"/>
      <w:lvlText w:val="%5."/>
      <w:lvlJc w:val="left"/>
      <w:pPr>
        <w:ind w:left="3597" w:hanging="360"/>
      </w:pPr>
      <w:rPr/>
    </w:lvl>
    <w:lvl w:ilvl="5">
      <w:start w:val="1"/>
      <w:numFmt w:val="lowerRoman"/>
      <w:lvlText w:val="%6."/>
      <w:lvlJc w:val="right"/>
      <w:pPr>
        <w:ind w:left="4317" w:hanging="180"/>
      </w:pPr>
      <w:rPr/>
    </w:lvl>
    <w:lvl w:ilvl="6">
      <w:start w:val="1"/>
      <w:numFmt w:val="decimal"/>
      <w:lvlText w:val="%7."/>
      <w:lvlJc w:val="left"/>
      <w:pPr>
        <w:ind w:left="5037" w:hanging="360"/>
      </w:pPr>
      <w:rPr/>
    </w:lvl>
    <w:lvl w:ilvl="7">
      <w:start w:val="1"/>
      <w:numFmt w:val="lowerLetter"/>
      <w:lvlText w:val="%8."/>
      <w:lvlJc w:val="left"/>
      <w:pPr>
        <w:ind w:left="5757" w:hanging="360"/>
      </w:pPr>
      <w:rPr/>
    </w:lvl>
    <w:lvl w:ilvl="8">
      <w:start w:val="1"/>
      <w:numFmt w:val="lowerRoman"/>
      <w:lvlText w:val="%9."/>
      <w:lvlJc w:val="right"/>
      <w:pPr>
        <w:ind w:left="6477" w:hanging="180"/>
      </w:pPr>
      <w:rPr/>
    </w:lvl>
  </w:abstractNum>
  <w:abstractNum w:abstractNumId="18">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87" w:hanging="427.99999999999994"/>
      </w:pPr>
      <w:rPr>
        <w:rFonts w:ascii="Calibri" w:cs="Calibri" w:eastAsia="Calibri" w:hAnsi="Calibri"/>
        <w:b w:val="0"/>
        <w:bCs w:val="0"/>
        <w:i w:val="0"/>
        <w:iCs w:val="0"/>
        <w:sz w:val="24"/>
        <w:szCs w:val="24"/>
      </w:rPr>
    </w:lvl>
    <w:lvl w:ilvl="1">
      <w:start w:val="1"/>
      <w:numFmt w:val="decimal"/>
      <w:lvlText w:val="%2)"/>
      <w:lvlJc w:val="left"/>
      <w:pPr>
        <w:ind w:left="1068" w:hanging="281.0000000000001"/>
      </w:pPr>
      <w:rPr>
        <w:rFonts w:ascii="Calibri" w:cs="Calibri" w:eastAsia="Calibri" w:hAnsi="Calibri"/>
        <w:sz w:val="22"/>
        <w:szCs w:val="22"/>
      </w:rPr>
    </w:lvl>
    <w:lvl w:ilvl="2">
      <w:start w:val="0"/>
      <w:numFmt w:val="bullet"/>
      <w:lvlText w:val="•"/>
      <w:lvlJc w:val="left"/>
      <w:pPr>
        <w:ind w:left="1080" w:hanging="281"/>
      </w:pPr>
      <w:rPr/>
    </w:lvl>
    <w:lvl w:ilvl="3">
      <w:start w:val="0"/>
      <w:numFmt w:val="bullet"/>
      <w:lvlText w:val="•"/>
      <w:lvlJc w:val="left"/>
      <w:pPr>
        <w:ind w:left="1220" w:hanging="281"/>
      </w:pPr>
      <w:rPr/>
    </w:lvl>
    <w:lvl w:ilvl="4">
      <w:start w:val="0"/>
      <w:numFmt w:val="bullet"/>
      <w:lvlText w:val="•"/>
      <w:lvlJc w:val="left"/>
      <w:pPr>
        <w:ind w:left="2540" w:hanging="281"/>
      </w:pPr>
      <w:rPr/>
    </w:lvl>
    <w:lvl w:ilvl="5">
      <w:start w:val="0"/>
      <w:numFmt w:val="bullet"/>
      <w:lvlText w:val="•"/>
      <w:lvlJc w:val="left"/>
      <w:pPr>
        <w:ind w:left="3860" w:hanging="281"/>
      </w:pPr>
      <w:rPr/>
    </w:lvl>
    <w:lvl w:ilvl="6">
      <w:start w:val="0"/>
      <w:numFmt w:val="bullet"/>
      <w:lvlText w:val="•"/>
      <w:lvlJc w:val="left"/>
      <w:pPr>
        <w:ind w:left="5180" w:hanging="281"/>
      </w:pPr>
      <w:rPr/>
    </w:lvl>
    <w:lvl w:ilvl="7">
      <w:start w:val="0"/>
      <w:numFmt w:val="bullet"/>
      <w:lvlText w:val="•"/>
      <w:lvlJc w:val="left"/>
      <w:pPr>
        <w:ind w:left="6500" w:hanging="281"/>
      </w:pPr>
      <w:rPr/>
    </w:lvl>
    <w:lvl w:ilvl="8">
      <w:start w:val="0"/>
      <w:numFmt w:val="bullet"/>
      <w:lvlText w:val="•"/>
      <w:lvlJc w:val="left"/>
      <w:pPr>
        <w:ind w:left="7820" w:hanging="281"/>
      </w:pPr>
      <w:rPr/>
    </w:lvl>
  </w:abstractNum>
  <w:abstractNum w:abstractNumId="22">
    <w:lvl w:ilvl="0">
      <w:start w:val="1"/>
      <w:numFmt w:val="decimal"/>
      <w:lvlText w:val="%1."/>
      <w:lvlJc w:val="left"/>
      <w:pPr>
        <w:ind w:left="360" w:hanging="360"/>
      </w:pPr>
      <w:rPr>
        <w:color w:val="000000"/>
        <w:sz w:val="24"/>
        <w:szCs w:val="24"/>
        <w:vertAlign w:val="baseline"/>
      </w:rPr>
    </w:lvl>
    <w:lvl w:ilvl="1">
      <w:start w:val="1"/>
      <w:numFmt w:val="lowerLetter"/>
      <w:lvlText w:val="%2."/>
      <w:lvlJc w:val="left"/>
      <w:pPr>
        <w:ind w:left="1380" w:hanging="300"/>
      </w:pPr>
      <w:rPr>
        <w:sz w:val="24"/>
        <w:szCs w:val="24"/>
        <w:vertAlign w:val="baseline"/>
      </w:rPr>
    </w:lvl>
    <w:lvl w:ilvl="2">
      <w:start w:val="1"/>
      <w:numFmt w:val="lowerRoman"/>
      <w:lvlText w:val="%3."/>
      <w:lvlJc w:val="left"/>
      <w:pPr>
        <w:ind w:left="2111" w:hanging="247"/>
      </w:pPr>
      <w:rPr>
        <w:sz w:val="20"/>
        <w:szCs w:val="20"/>
        <w:vertAlign w:val="baseline"/>
      </w:rPr>
    </w:lvl>
    <w:lvl w:ilvl="3">
      <w:start w:val="1"/>
      <w:numFmt w:val="decimal"/>
      <w:lvlText w:val="%4."/>
      <w:lvlJc w:val="left"/>
      <w:pPr>
        <w:ind w:left="2820" w:hanging="300"/>
      </w:pPr>
      <w:rPr>
        <w:sz w:val="20"/>
        <w:szCs w:val="20"/>
        <w:vertAlign w:val="baseline"/>
      </w:rPr>
    </w:lvl>
    <w:lvl w:ilvl="4">
      <w:start w:val="1"/>
      <w:numFmt w:val="lowerLetter"/>
      <w:lvlText w:val="%5."/>
      <w:lvlJc w:val="left"/>
      <w:pPr>
        <w:ind w:left="3540" w:hanging="300"/>
      </w:pPr>
      <w:rPr>
        <w:sz w:val="20"/>
        <w:szCs w:val="20"/>
        <w:vertAlign w:val="baseline"/>
      </w:rPr>
    </w:lvl>
    <w:lvl w:ilvl="5">
      <w:start w:val="1"/>
      <w:numFmt w:val="lowerRoman"/>
      <w:lvlText w:val="%6."/>
      <w:lvlJc w:val="left"/>
      <w:pPr>
        <w:ind w:left="4271" w:hanging="246.9999999999991"/>
      </w:pPr>
      <w:rPr>
        <w:sz w:val="20"/>
        <w:szCs w:val="20"/>
        <w:vertAlign w:val="baseline"/>
      </w:rPr>
    </w:lvl>
    <w:lvl w:ilvl="6">
      <w:start w:val="1"/>
      <w:numFmt w:val="decimal"/>
      <w:lvlText w:val="%7."/>
      <w:lvlJc w:val="left"/>
      <w:pPr>
        <w:ind w:left="4980" w:hanging="300"/>
      </w:pPr>
      <w:rPr>
        <w:sz w:val="20"/>
        <w:szCs w:val="20"/>
        <w:vertAlign w:val="baseline"/>
      </w:rPr>
    </w:lvl>
    <w:lvl w:ilvl="7">
      <w:start w:val="1"/>
      <w:numFmt w:val="lowerLetter"/>
      <w:lvlText w:val="%8."/>
      <w:lvlJc w:val="left"/>
      <w:pPr>
        <w:ind w:left="5700" w:hanging="300"/>
      </w:pPr>
      <w:rPr>
        <w:sz w:val="20"/>
        <w:szCs w:val="20"/>
        <w:vertAlign w:val="baseline"/>
      </w:rPr>
    </w:lvl>
    <w:lvl w:ilvl="8">
      <w:start w:val="1"/>
      <w:numFmt w:val="lowerRoman"/>
      <w:lvlText w:val="%9."/>
      <w:lvlJc w:val="left"/>
      <w:pPr>
        <w:ind w:left="6431" w:hanging="247"/>
      </w:pPr>
      <w:rPr>
        <w:sz w:val="20"/>
        <w:szCs w:val="20"/>
        <w:vertAlign w:val="baseline"/>
      </w:rPr>
    </w:lvl>
  </w:abstractNum>
  <w:abstractNum w:abstractNumId="23">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360" w:hanging="360"/>
      </w:pPr>
      <w:rPr/>
    </w:lvl>
    <w:lvl w:ilvl="1">
      <w:start w:val="1"/>
      <w:numFmt w:val="decimal"/>
      <w:lvlText w:val="%2)"/>
      <w:lvlJc w:val="left"/>
      <w:pPr>
        <w:ind w:left="36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5">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720" w:hanging="363"/>
      </w:pPr>
      <w:rPr>
        <w:b w:val="0"/>
        <w:bCs w:val="0"/>
        <w:i w:val="0"/>
        <w:i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720" w:hanging="360"/>
      </w:pPr>
      <w:rPr>
        <w:rFonts w:ascii="Calibri" w:cs="Calibri" w:eastAsia="Calibri" w:hAnsi="Calibri"/>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b w:val="0"/>
        <w:bCs w:val="0"/>
        <w:i w:val="0"/>
        <w:iCs w:val="0"/>
      </w:rPr>
    </w:lvl>
    <w:lvl w:ilvl="1">
      <w:start w:val="1"/>
      <w:numFmt w:val="decimal"/>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540"/>
      </w:tabs>
      <w:spacing w:after="0" w:line="240" w:lineRule="auto"/>
      <w:ind w:left="540"/>
      <w:jc w:val="both"/>
    </w:pPr>
    <w:rPr>
      <w:rFonts w:ascii="Times New Roman" w:cs="Times New Roman" w:eastAsia="Times New Roman" w:hAnsi="Times New Roman"/>
      <w:b w:val="1"/>
      <w:bCs w:val="1"/>
      <w:sz w:val="24"/>
      <w:szCs w:val="24"/>
    </w:rPr>
  </w:style>
  <w:style w:type="paragraph" w:styleId="Heading2">
    <w:name w:val="heading 2"/>
    <w:basedOn w:val="Normal"/>
    <w:next w:val="Normal"/>
    <w:pPr>
      <w:spacing w:after="360" w:before="360" w:lineRule="auto"/>
    </w:pPr>
    <w:rPr>
      <w:rFonts w:ascii="Calibri" w:cs="Calibri" w:eastAsia="Calibri" w:hAnsi="Calibri"/>
      <w:b w:val="1"/>
      <w:bCs w:val="1"/>
      <w:sz w:val="24"/>
      <w:szCs w:val="24"/>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0" w:line="360" w:lineRule="auto"/>
      <w:jc w:val="center"/>
    </w:pPr>
    <w:rPr>
      <w:rFonts w:ascii="Arial" w:cs="Arial" w:eastAsia="Arial" w:hAnsi="Arial"/>
      <w:b w:val="1"/>
      <w:bCs w:val="1"/>
      <w:sz w:val="24"/>
      <w:szCs w:val="24"/>
    </w:rPr>
  </w:style>
  <w:style w:type="paragraph" w:styleId="Heading5">
    <w:name w:val="heading 5"/>
    <w:basedOn w:val="Normal"/>
    <w:next w:val="Normal"/>
    <w:pPr>
      <w:spacing w:after="60" w:before="240" w:line="240" w:lineRule="auto"/>
    </w:pPr>
    <w:rPr>
      <w:rFonts w:ascii="Times New Roman" w:cs="Times New Roman" w:eastAsia="Times New Roman" w:hAnsi="Times New Roman"/>
      <w:b w:val="1"/>
      <w:bCs w:val="1"/>
      <w:i w:val="1"/>
      <w:iCs w:val="1"/>
      <w:sz w:val="26"/>
      <w:szCs w:val="26"/>
    </w:rPr>
  </w:style>
  <w:style w:type="paragraph" w:styleId="Heading6">
    <w:name w:val="heading 6"/>
    <w:basedOn w:val="Normal"/>
    <w:next w:val="Normal"/>
    <w:pPr>
      <w:spacing w:after="60" w:before="240" w:line="240" w:lineRule="auto"/>
    </w:pPr>
    <w:rPr>
      <w:rFonts w:ascii="Times New Roman" w:cs="Times New Roman" w:eastAsia="Times New Roman" w:hAnsi="Times New Roman"/>
      <w:b w:val="1"/>
      <w:bCs w:val="1"/>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8"/>
      <w:szCs w:val="28"/>
    </w:rPr>
  </w:style>
  <w:style w:type="paragraph" w:styleId="Subtitle">
    <w:name w:val="Subtitle"/>
    <w:basedOn w:val="Normal"/>
    <w:next w:val="Normal"/>
    <w:pPr>
      <w:tabs>
        <w:tab w:val="left" w:leader="none" w:pos="1080"/>
      </w:tabs>
      <w:spacing w:after="0" w:line="360" w:lineRule="auto"/>
      <w:ind w:left="1080" w:hanging="720"/>
      <w:jc w:val="center"/>
    </w:pPr>
    <w:rPr>
      <w:rFonts w:ascii="Tahoma" w:cs="Tahoma" w:eastAsia="Tahoma" w:hAnsi="Tahoma"/>
      <w:b w:val="1"/>
      <w:bCs w:val="1"/>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gov.pl/web/planodbudowy/strategia-promocji-i-informacji-kpo." TargetMode="External"/><Relationship Id="rId10" Type="http://schemas.openxmlformats.org/officeDocument/2006/relationships/hyperlink" Target="https://www.gov.pl/web/planodbudowy/strategia-promocji-i-informacji-kpo" TargetMode="External"/><Relationship Id="rId21" Type="http://schemas.openxmlformats.org/officeDocument/2006/relationships/footer" Target="footer1.xml"/><Relationship Id="rId13" Type="http://schemas.openxmlformats.org/officeDocument/2006/relationships/image" Target="media/image3.png"/><Relationship Id="rId12" Type="http://schemas.openxmlformats.org/officeDocument/2006/relationships/hyperlink" Target="https://www.gov.pl/web/planodbudowy/wytyczn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ip.lex.pl/#/act/69456573/2958898" TargetMode="External"/><Relationship Id="rId15" Type="http://schemas.openxmlformats.org/officeDocument/2006/relationships/image" Target="media/image4.png"/><Relationship Id="rId14" Type="http://schemas.openxmlformats.org/officeDocument/2006/relationships/image" Target="media/image6.png"/><Relationship Id="rId17" Type="http://schemas.openxmlformats.org/officeDocument/2006/relationships/image" Target="media/image8.png"/><Relationship Id="rId16" Type="http://schemas.openxmlformats.org/officeDocument/2006/relationships/image" Target="media/image2.png"/><Relationship Id="rId5" Type="http://schemas.openxmlformats.org/officeDocument/2006/relationships/numbering" Target="numbering.xml"/><Relationship Id="rId19" Type="http://schemas.openxmlformats.org/officeDocument/2006/relationships/image" Target="media/image5.png"/><Relationship Id="rId6" Type="http://schemas.openxmlformats.org/officeDocument/2006/relationships/styles" Target="styles.xml"/><Relationship Id="rId18" Type="http://schemas.openxmlformats.org/officeDocument/2006/relationships/image" Target="media/image7.png"/><Relationship Id="rId7" Type="http://schemas.openxmlformats.org/officeDocument/2006/relationships/customXml" Target="../customXML/item1.xml"/><Relationship Id="rId8" Type="http://schemas.openxmlformats.org/officeDocument/2006/relationships/hyperlink" Target="http://www.funduszeeuropejskie.gov.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5mjrhXHpWKw7LkZhqcgvvGBNSw==">CgMxLjAyDmguZGNpNHRxODhmZGFwMg1oLnRodmVheHE3bXR1Mg5oLmpxYzcwa3FoandrYzIOaC5ndGU1aGpvYnowZWoyDmguNGNyMWM0bzBldDV4Mg5oLnNuNndzdWFndjV4MTIOaC5iY2RhOXB3dzBnNHUyDmguNzZ3Z2p6ZjdvcXp3Mg5oLjc0dWZ1d2Q4YmlndjIOaC53MXQwbDUyeHRvbnc4AHIhMVN3cnhURWNSdzA3NVktYzc1VGRHRThkYW1IWVNfTG1Q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