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Adresatas:</w:t>
      </w:r>
    </w:p>
    <w:p w14:paraId="1A4D7FC8" w14:textId="664365C8" w:rsidR="00C161A9" w:rsidRDefault="007A7D55" w:rsidP="00CF7BA8">
      <w:pPr>
        <w:jc w:val="right"/>
        <w:rPr>
          <w:rFonts w:ascii="Calibri" w:hAnsi="Calibri" w:cs="Calibri"/>
          <w:sz w:val="20"/>
          <w:szCs w:val="20"/>
        </w:rPr>
      </w:pPr>
      <w:r>
        <w:rPr>
          <w:rFonts w:ascii="Calibri" w:hAnsi="Calibri"/>
          <w:sz w:val="20"/>
        </w:rPr>
        <w:t>Mero vardas ir pavardė</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E. pašto adresas</w:t>
      </w:r>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2FE1F054" w:rsidR="000F5DB2" w:rsidRPr="000F5DB2" w:rsidRDefault="000F5DB2" w:rsidP="000F5DB2">
      <w:pPr>
        <w:rPr>
          <w:rFonts w:ascii="Calibri" w:hAnsi="Calibri" w:cs="Calibri"/>
          <w:sz w:val="20"/>
          <w:szCs w:val="20"/>
        </w:rPr>
      </w:pPr>
      <w:r>
        <w:rPr>
          <w:rFonts w:ascii="Calibri" w:hAnsi="Calibri"/>
          <w:sz w:val="20"/>
        </w:rPr>
        <w:t>Gerb. XX (mero vardas ir pavardė),</w:t>
      </w:r>
      <w:r w:rsidR="00CD1E1E" w:rsidRPr="00CD1E1E">
        <w:rPr>
          <w:noProof/>
          <w:lang w:eastAsia="en-GB"/>
        </w:rPr>
        <w:t xml:space="preserve"> </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miestai klesti tuomet, kai jie kuriami visiems – kai gatvės, parkai ir viešosios erdvės atliepia visų gyventojų poreikių įvairovę. Todėl kreipiuosi į Jus, skatindamas remti įtraukesnę, teisingesnę ir tvaresnę miestų plėtrą, kuri iš tiesų atspindėtų visų lyčių poreikius, ypatingą dėmesį skiriant moterims ir mergaitėms, nes istorijos tėkmėje jos nepakankamai dalyvavo formuojant mūsų miestus.</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Miestai nėra neutralios erdvės. Jų projektavimas ir planavimas žmones veikia nevienodai, priklausomai nuo jų lyties, amžiaus, fizinių gebėjimų, priežiūros pareigų ir ekonominės padėties. Miesto infrastruktūra – ar tai būtų viešasis transportas, būstas, gatvių apšvietimas, parkų projektavimas ar paslaugų prieinamumas – dažnai yra nepakankamai pritaikyta prie daugiau nei pusės mūsų visuomenės narių poreikių. Miestų erdves reikia kurti taip, kad jos tarnautų visiems. Feministiniai miestai yra pažangieji miestai.</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Kaip parodė praktinis seminaras dėl į lyčių lygybę orientuoto miestų planavimo, kurį, vykstant Europos regionų ir miestų savaitei, 2025 m. spalio 14 d. surengė Europos regionų komiteto Europos socialistų partijos (PES) frakcija, dabar kaip niekad akivaizdu, kad reikia skubiai integruoti lyčių perspektyvą ir biudžeto sudarymą atsižvelgiant į lyčių aspektą į visas vietos ir regionų politikos formavimo sritis, įskaitant miestų planavimą ir projektavimą.</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Biudžeto sudarymas atsižvelgiant į lyčių aspektą yra ne tik finansinė priemonė, bet ir politinis įsipareigojimas siekti teisingumo ir lygybės. Juo užtikrinama, kad skirstant viešuosius išteklius būtų aktyviai mažinama nelygybė ir nė vienas nebūtų paliktas nuošalyje. Praktinis biudžeto sudarymo atsižvelgiant į lyčių aspektą taikymas – nuo planavimo iki projektų įgyvendinimo – padėtų geriau kurti visiems naudingas erdves. Įperkamas būstas, saugios gatvės, prieinamas judumas ir įtraukios viešosios paslaugos yra labai svarbūs aspektai priimant politinius sprendimus.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Tai unikali galimybė rodyti progresyvųjį pavyzdį ir pirmauti formuojant ateitį, kurioje mūsų miestai iš tiesų būtų kuriami visiems. Raginu Jus įgyvendinti į lyčių aspektą orientuotą miestų planavimo politiką, kuri atlieptų visų gyventojų poreikių įvairovę, taikyti biudžeto sudarymą atsižvelgiant į lyčių aspektą savivaldybės lygmeniu, kad būtų užtikrintas teisingas viešųjų išteklių paskirstymas, ir įsitraukti į dalyvaujamojo planavimo procesus, kad būtų pasiektas didesnis aktyvumas rengiant projektus. </w:t>
      </w:r>
      <w:r w:rsidRPr="00CB77AB">
        <w:rPr>
          <w:rFonts w:asciiTheme="minorHAnsi" w:hAnsiTheme="minorHAnsi" w:cstheme="minorHAnsi"/>
          <w:sz w:val="20"/>
          <w:szCs w:val="20"/>
        </w:rPr>
        <w:t xml:space="preserve">Galiausiai, raginu Jus viešai įsipareigoti siekti, kad miestų projektavimas taptų socialinio teisingumo ir įtraukties priemone, naudojant saitažodį </w:t>
      </w:r>
      <w:r w:rsidRPr="00CB77AB">
        <w:rPr>
          <w:rFonts w:asciiTheme="minorHAnsi" w:hAnsiTheme="minorHAnsi" w:cstheme="minorHAnsi"/>
          <w:i/>
          <w:iCs/>
          <w:sz w:val="20"/>
          <w:szCs w:val="20"/>
        </w:rPr>
        <w:t>#FeministCitiesAreProgressiveCities</w:t>
      </w:r>
      <w:r w:rsidRPr="00CB77AB">
        <w:rPr>
          <w:rFonts w:asciiTheme="minorHAnsi" w:hAnsiTheme="minorHAnsi" w:cstheme="minorHAnsi"/>
          <w:sz w:val="20"/>
          <w:szCs w:val="20"/>
        </w:rPr>
        <w:t xml:space="preserve"> ir pažymint </w:t>
      </w:r>
      <w:hyperlink r:id="rId10">
        <w:r w:rsidRPr="00CB77AB">
          <w:rPr>
            <w:rStyle w:val="Hyperlink"/>
            <w:rFonts w:asciiTheme="minorHAnsi" w:hAnsiTheme="minorHAnsi" w:cstheme="minorHAnsi"/>
            <w:i/>
            <w:iCs/>
            <w:sz w:val="20"/>
            <w:szCs w:val="20"/>
          </w:rPr>
          <w:t>PES Group in the CoR</w:t>
        </w:r>
      </w:hyperlink>
      <w:r w:rsidRPr="00CB77AB">
        <w:rPr>
          <w:rFonts w:asciiTheme="minorHAnsi" w:hAnsiTheme="minorHAnsi" w:cstheme="minorHAnsi"/>
          <w:sz w:val="20"/>
          <w:szCs w:val="20"/>
        </w:rPr>
        <w:t>.</w:t>
      </w:r>
      <w:r w:rsidRPr="00CB77AB">
        <w:rPr>
          <w:rFonts w:asciiTheme="minorHAnsi" w:hAnsiTheme="minorHAnsi"/>
          <w:sz w:val="20"/>
          <w:szCs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Dėkojame už Jūsų lyderystę ir įsipareigojimą kurti feministinius miestus ir geresnę ateitį visiems piliečiams.</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Pagarbiai</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Europos regionų komiteto PES frakcija</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r>
            <w:rPr>
              <w:rFonts w:ascii="Arial" w:hAnsi="Arial"/>
              <w:color w:val="0D0D0D"/>
              <w:sz w:val="14"/>
            </w:rPr>
            <w:t>Rue Belliard 101, 1040 Briuselis</w:t>
          </w:r>
        </w:p>
      </w:tc>
      <w:tc>
        <w:tcPr>
          <w:tcW w:w="2208" w:type="dxa"/>
          <w:tcBorders>
            <w:left w:val="single" w:sz="8" w:space="0" w:color="DD0000"/>
          </w:tcBorders>
          <w:shd w:val="clear" w:color="auto" w:fill="auto"/>
        </w:tcPr>
        <w:p w14:paraId="74AE392F" w14:textId="77777777" w:rsidR="00CE0BB2" w:rsidRPr="004C2966" w:rsidRDefault="008F6B49"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B850C9">
              <w:rPr>
                <w:rFonts w:ascii="Arial" w:hAnsi="Arial"/>
                <w:sz w:val="15"/>
              </w:rPr>
              <w:t>pes-group@cor.europa.eu</w:t>
            </w:r>
          </w:hyperlink>
          <w:r w:rsidR="00B850C9">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08EC634B" w:rsidR="00465351" w:rsidRPr="00BE4F98" w:rsidRDefault="00CD1E1E" w:rsidP="00217594">
          <w:pPr>
            <w:pStyle w:val="Header"/>
            <w:jc w:val="right"/>
          </w:pPr>
          <w:r w:rsidRPr="00E32B8D">
            <w:rPr>
              <w:noProof/>
              <w:lang w:eastAsia="en-GB"/>
            </w:rPr>
            <w:drawing>
              <wp:inline distT="0" distB="0" distL="0" distR="0" wp14:anchorId="6FA9E373" wp14:editId="6A4852DE">
                <wp:extent cx="1098370" cy="830580"/>
                <wp:effectExtent l="0" t="0" r="6985" b="7620"/>
                <wp:docPr id="1" name="Picture 1" descr="C:\Users\mreg\Music\New LOGO CoR\Logo\logo_CoR-vertical-positive-lt-quadri_MR.jpg" title="CoRLogo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lt-quadri_M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244" cy="863757"/>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7CE"/>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1CC6"/>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23D3"/>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3A7"/>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8F6B49"/>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530"/>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50C9"/>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7AB"/>
    <w:rsid w:val="00CB7E14"/>
    <w:rsid w:val="00CC28DB"/>
    <w:rsid w:val="00CC2CCE"/>
    <w:rsid w:val="00CC63FC"/>
    <w:rsid w:val="00CD069F"/>
    <w:rsid w:val="00CD18B5"/>
    <w:rsid w:val="00CD1E1E"/>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2DB4"/>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B412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lt-LT"/>
    </w:rPr>
  </w:style>
  <w:style w:type="character" w:customStyle="1" w:styleId="Heading2Char">
    <w:name w:val="Heading 2 Char"/>
    <w:basedOn w:val="DefaultParagraphFont"/>
    <w:link w:val="Heading2"/>
    <w:rsid w:val="001F2F22"/>
    <w:rPr>
      <w:rFonts w:ascii="Times New Roman" w:eastAsia="Times New Roman" w:hAnsi="Times New Roman" w:cs="Times New Roman"/>
      <w:lang w:val="lt-LT"/>
    </w:rPr>
  </w:style>
  <w:style w:type="character" w:customStyle="1" w:styleId="Heading3Char">
    <w:name w:val="Heading 3 Char"/>
    <w:basedOn w:val="DefaultParagraphFont"/>
    <w:link w:val="Heading3"/>
    <w:rsid w:val="001F2F22"/>
    <w:rPr>
      <w:rFonts w:ascii="Times New Roman" w:eastAsia="Times New Roman" w:hAnsi="Times New Roman" w:cs="Times New Roman"/>
      <w:lang w:val="lt-LT"/>
    </w:rPr>
  </w:style>
  <w:style w:type="character" w:customStyle="1" w:styleId="Heading4Char">
    <w:name w:val="Heading 4 Char"/>
    <w:basedOn w:val="DefaultParagraphFont"/>
    <w:link w:val="Heading4"/>
    <w:rsid w:val="001F2F22"/>
    <w:rPr>
      <w:rFonts w:ascii="Times New Roman" w:eastAsia="Times New Roman" w:hAnsi="Times New Roman" w:cs="Times New Roman"/>
      <w:lang w:val="lt-LT"/>
    </w:rPr>
  </w:style>
  <w:style w:type="character" w:customStyle="1" w:styleId="Heading5Char">
    <w:name w:val="Heading 5 Char"/>
    <w:basedOn w:val="DefaultParagraphFont"/>
    <w:link w:val="Heading5"/>
    <w:rsid w:val="001F2F22"/>
    <w:rPr>
      <w:rFonts w:ascii="Times New Roman" w:eastAsia="Times New Roman" w:hAnsi="Times New Roman" w:cs="Times New Roman"/>
      <w:lang w:val="lt-LT"/>
    </w:rPr>
  </w:style>
  <w:style w:type="character" w:customStyle="1" w:styleId="Heading6Char">
    <w:name w:val="Heading 6 Char"/>
    <w:basedOn w:val="DefaultParagraphFont"/>
    <w:link w:val="Heading6"/>
    <w:rsid w:val="001F2F22"/>
    <w:rPr>
      <w:rFonts w:ascii="Times New Roman" w:eastAsia="Times New Roman" w:hAnsi="Times New Roman" w:cs="Times New Roman"/>
      <w:lang w:val="lt-LT"/>
    </w:rPr>
  </w:style>
  <w:style w:type="character" w:customStyle="1" w:styleId="Heading7Char">
    <w:name w:val="Heading 7 Char"/>
    <w:basedOn w:val="DefaultParagraphFont"/>
    <w:link w:val="Heading7"/>
    <w:rsid w:val="001F2F22"/>
    <w:rPr>
      <w:rFonts w:ascii="Times New Roman" w:eastAsia="Times New Roman" w:hAnsi="Times New Roman" w:cs="Times New Roman"/>
      <w:lang w:val="lt-LT"/>
    </w:rPr>
  </w:style>
  <w:style w:type="character" w:customStyle="1" w:styleId="Heading8Char">
    <w:name w:val="Heading 8 Char"/>
    <w:basedOn w:val="DefaultParagraphFont"/>
    <w:link w:val="Heading8"/>
    <w:rsid w:val="001F2F22"/>
    <w:rPr>
      <w:rFonts w:ascii="Times New Roman" w:eastAsia="Times New Roman" w:hAnsi="Times New Roman" w:cs="Times New Roman"/>
      <w:lang w:val="lt-LT"/>
    </w:rPr>
  </w:style>
  <w:style w:type="character" w:customStyle="1" w:styleId="Heading9Char">
    <w:name w:val="Heading 9 Char"/>
    <w:basedOn w:val="DefaultParagraphFont"/>
    <w:link w:val="Heading9"/>
    <w:rsid w:val="001F2F22"/>
    <w:rPr>
      <w:rFonts w:ascii="Times New Roman" w:eastAsia="Times New Roman" w:hAnsi="Times New Roman" w:cs="Times New Roman"/>
      <w:lang w:val="lt-LT"/>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lt-LT"/>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lt-LT"/>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lt-LT"/>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lt-LT"/>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lt-LT"/>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lt-LT"/>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lt-LT"/>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lt-LT"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lt-LT"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lt-LT"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lt-LT"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t-LT"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Lithuanian</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1DE5B-3B21-467C-B532-793D5F90AC7E}"/>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4.xml><?xml version="1.0" encoding="utf-8"?>
<ds:datastoreItem xmlns:ds="http://schemas.openxmlformats.org/officeDocument/2006/customXml" ds:itemID="{D07A2565-7ED2-42C1-AE10-EC0BEB280E2F}"/>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regionų ir miestų savaitė - Raštas vadovams</dc:title>
  <dc:creator/>
  <cp:keywords>COR-2023-00422-00-00-WEB-TRA-EN</cp:keywords>
  <dc:description>Rapporteur: -  Original language: - EN Date of document: - 26/01/2023 Date of meeting: -  External documents: -  Administrator responsible: -  LETE Nicolas</dc:description>
  <cp:lastModifiedBy/>
  <cp:revision>18</cp:revision>
  <cp:lastPrinted>2025-05-08T12:45:00Z</cp:lastPrinted>
  <dcterms:created xsi:type="dcterms:W3CDTF">2025-09-24T13:59:00Z</dcterms:created>
  <dcterms:modified xsi:type="dcterms:W3CDTF">2025-09-30T14:24:00Z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7d8fc1d3-da10-4c0c-982d-bdc27b9930c9</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CS|72f9705b-0217-4fd3-bea2-cbc7ed80e26e;BG|1a1b3951-7821-4e6a-85f5-5673fc08bd2c;MT|7df99101-6854-4a26-b53a-b88c0da02c26;LV|46f7e311-5d9f-4663-b433-18aeccb7ace7;RO|feb747a2-64cd-4299-af12-4833ddc30497;FR|d2afafd3-4c81-4f60-8f52-ee33f2f54ff3;DE|f6b31e5a-26fa-4935-b661-318e46daf27e;EN|f2175f21-25d7-44a3-96da-d6a61b075e1b;SK|46d9fce0-ef79-4f71-b89b-cd6aa82426b8;SV|c2ed69e7-a339-43d7-8f22-d93680a92aa0;HU|6b229040-c589-4408-b4c1-4285663d20a8;NL|55c6556c-b4f4-441d-9acf-c498d4f838bd;PT|50ccc04a-eadd-42ae-a0cb-acaf45f812ba;HR|2f555653-ed1a-4fe6-8362-9082d95989e5;PL|1e03da61-4678-4e07-b136-b5024ca9197b;ES|e7a6b05b-ae16-40c8-add9-68b64b03aeba;EL|6d4f4d51-af9b-4650-94b4-4276bee85c91;GA|762d2456-c427-4ecb-b312-af3dad8e258c;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61;#PES|148bacd2-5291-42d3-91db-bd5de9b12ecb;#41;#Protected|57ddab83-4635-4615-a38a-314020a42ea1;#37;#BG|1a1b3951-7821-4e6a-85f5-5673fc08bd2c;#36;#GA|762d2456-c427-4ecb-b312-af3dad8e258c;#34;#EL|6d4f4d51-af9b-4650-94b4-4276bee85c91;#33;#MT|7df99101-6854-4a26-b53a-b88c0da02c26;#31;#HR|2f555653-ed1a-4fe6-8362-9082d95989e5;#28;#CS|72f9705b-0217-4fd3-bea2-cbc7ed80e26e;#27;#LV|46f7e311-5d9f-4663-b433-18aeccb7ace7;#26;#HU|6b229040-c589-4408-b4c1-4285663d20a8;#25;#DA|5d49c027-8956-412b-aa16-e85a0f96ad0e;#24;#ES|e7a6b05b-ae16-40c8-add9-68b64b03aeba;#23;#PT|50ccc04a-eadd-42ae-a0cb-acaf45f812ba;#22;#IT|0774613c-01ed-4e5d-a25d-11d2388de825;#21;#SV|c2ed69e7-a339-43d7-8f22-d93680a92aa0;#20;#PL|1e03da61-4678-4e07-b136-b5024ca9197b;#19;#FR|d2afafd3-4c81-4f60-8f52-ee33f2f54ff3;#17;#LET|1efb3932-8add-41f7-8a52-34f688b497db;#16;#NL|55c6556c-b4f4-441d-9acf-c498d4f838bd;#15;#DE|f6b31e5a-26fa-4935-b661-318e46daf27e;#14;#RO|feb747a2-64cd-4299-af12-4833ddc30497;#13;#SK|46d9fce0-ef79-4f71-b89b-cd6aa82426b8;#8;#TRA|150d2a88-1431-44e6-a8ca-0bb753ab8672;#6;#Final|ea5e6674-7b27-4bac-b091-73adbb394efe;#4;#EN|f2175f21-25d7-44a3-96da-d6a61b075e1b;#1;#CoR|cb2d75ef-4a7d-4393-b797-49ed6298a5ea</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12;#LT|a7ff5ce7-6123-4f68-865a-a57c31810414</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