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right" w:leader="none" w:pos="9000"/>
          <w:tab w:val="right" w:leader="none" w:pos="9000"/>
        </w:tabs>
        <w:rPr>
          <w:sz w:val="36"/>
          <w:szCs w:val="36"/>
        </w:rPr>
      </w:pPr>
      <w:r w:rsidDel="00000000" w:rsidR="00000000" w:rsidRPr="00000000">
        <w:rPr>
          <w:rtl w:val="0"/>
        </w:rPr>
        <w:t xml:space="preserve">PPK ringkas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  <w:tab w:val="right" w:leader="none" w:pos="9000"/>
        </w:tabs>
        <w:ind w:left="2160" w:hanging="2160"/>
        <w:rPr/>
      </w:pPr>
      <w:r w:rsidDel="00000000" w:rsidR="00000000" w:rsidRPr="00000000">
        <w:rPr>
          <w:rtl w:val="0"/>
        </w:rPr>
        <w:t xml:space="preserve">Judul</w:t>
        <w:tab/>
        <w:t xml:space="preserve">:</w:t>
        <w:tab/>
      </w:r>
      <w:r w:rsidDel="00000000" w:rsidR="00000000" w:rsidRPr="00000000">
        <w:rPr>
          <w:rtl w:val="0"/>
        </w:rPr>
        <w:t xml:space="preserve">………………………….</w:t>
        <w:tab/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(nomenklatur mengacu ke ICD)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ind w:left="2160" w:hanging="2160"/>
        <w:rPr/>
      </w:pPr>
      <w:r w:rsidDel="00000000" w:rsidR="00000000" w:rsidRPr="00000000">
        <w:rPr>
          <w:rtl w:val="0"/>
        </w:rPr>
        <w:t xml:space="preserve">ICD-9-CM</w:t>
        <w:tab/>
        <w:t xml:space="preserve">:</w:t>
        <w:tab/>
        <w:t xml:space="preserve">………………………….</w:t>
      </w:r>
    </w:p>
    <w:p w:rsidR="00000000" w:rsidDel="00000000" w:rsidP="00000000" w:rsidRDefault="00000000" w:rsidRPr="00000000" w14:paraId="00000004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ind w:left="2160" w:hanging="2160"/>
        <w:rPr/>
      </w:pPr>
      <w:r w:rsidDel="00000000" w:rsidR="00000000" w:rsidRPr="00000000">
        <w:rPr>
          <w:rtl w:val="0"/>
        </w:rPr>
        <w:t xml:space="preserve">KSM Penyusun</w:t>
        <w:tab/>
        <w:t xml:space="preserve">:</w:t>
        <w:tab/>
        <w:t xml:space="preserve">………………………….</w:t>
      </w:r>
    </w:p>
    <w:p w:rsidR="00000000" w:rsidDel="00000000" w:rsidP="00000000" w:rsidRDefault="00000000" w:rsidRPr="00000000" w14:paraId="00000005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Definisi</w:t>
      </w:r>
    </w:p>
    <w:p w:rsidR="00000000" w:rsidDel="00000000" w:rsidP="00000000" w:rsidRDefault="00000000" w:rsidRPr="00000000" w14:paraId="00000007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Ringkas (maksimal 100 kata)</w:t>
      </w:r>
    </w:p>
    <w:p w:rsidR="00000000" w:rsidDel="00000000" w:rsidP="00000000" w:rsidRDefault="00000000" w:rsidRPr="00000000" w14:paraId="00000008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Indikasi</w:t>
      </w:r>
    </w:p>
    <w:p w:rsidR="00000000" w:rsidDel="00000000" w:rsidP="00000000" w:rsidRDefault="00000000" w:rsidRPr="00000000" w14:paraId="0000000B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Daftar indikasi (beserta diagnosis/ICD-10)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160" w:before="0" w:line="259" w:lineRule="auto"/>
        <w:ind w:left="72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Persiapan</w:t>
      </w:r>
    </w:p>
    <w:p w:rsidR="00000000" w:rsidDel="00000000" w:rsidP="00000000" w:rsidRDefault="00000000" w:rsidRPr="00000000" w14:paraId="00000010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Prosedur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Pemantauan pasca prosedur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Daftar Kebutuhan Alat Kedokteran, BMHP, Obat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55"/>
        <w:gridCol w:w="5961"/>
        <w:tblGridChange w:id="0">
          <w:tblGrid>
            <w:gridCol w:w="3055"/>
            <w:gridCol w:w="59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prosedur/ tindakan (ICD-9-CM)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Alat/BMHP/Obat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rPr/>
            </w:pPr>
            <w:r w:rsidDel="00000000" w:rsidR="00000000" w:rsidRPr="00000000">
              <w:rPr>
                <w:rtl w:val="0"/>
              </w:rPr>
              <w:t xml:space="preserve">….. (…..)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16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….dst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rPr/>
            </w:pPr>
            <w:r w:rsidDel="00000000" w:rsidR="00000000" w:rsidRPr="00000000">
              <w:rPr>
                <w:rtl w:val="0"/>
              </w:rPr>
              <w:t xml:space="preserve">….. (…..)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16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….dst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rPr/>
            </w:pPr>
            <w:r w:rsidDel="00000000" w:rsidR="00000000" w:rsidRPr="00000000">
              <w:rPr>
                <w:rtl w:val="0"/>
              </w:rPr>
              <w:t xml:space="preserve">….. (…..)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16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….dst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rPr/>
            </w:pPr>
            <w:r w:rsidDel="00000000" w:rsidR="00000000" w:rsidRPr="00000000">
              <w:rPr>
                <w:rtl w:val="0"/>
              </w:rPr>
              <w:t xml:space="preserve">….. (…..)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16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….dst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rPr/>
            </w:pPr>
            <w:r w:rsidDel="00000000" w:rsidR="00000000" w:rsidRPr="00000000">
              <w:rPr>
                <w:rtl w:val="0"/>
              </w:rPr>
              <w:t xml:space="preserve">….. (…..)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90"/>
                <w:tab w:val="left" w:leader="none" w:pos="2160"/>
                <w:tab w:val="left" w:leader="none" w:pos="1890"/>
                <w:tab w:val="left" w:leader="none" w:pos="2160"/>
              </w:tabs>
              <w:spacing w:after="160" w:before="0" w:line="259" w:lineRule="auto"/>
              <w:ind w:left="164" w:right="0" w:hanging="164"/>
              <w:jc w:val="left"/>
              <w:rPr/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….dst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Unit terkait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numPr>
          <w:ilvl w:val="0"/>
          <w:numId w:val="2"/>
        </w:numPr>
        <w:tabs>
          <w:tab w:val="right" w:leader="none" w:pos="9000"/>
          <w:tab w:val="right" w:leader="none" w:pos="9000"/>
        </w:tabs>
        <w:ind w:left="360" w:hanging="360"/>
        <w:rPr/>
      </w:pPr>
      <w:r w:rsidDel="00000000" w:rsidR="00000000" w:rsidRPr="00000000">
        <w:rPr>
          <w:rtl w:val="0"/>
        </w:rPr>
        <w:t xml:space="preserve">Literatur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890"/>
          <w:tab w:val="left" w:leader="none" w:pos="2160"/>
          <w:tab w:val="left" w:leader="none" w:pos="1890"/>
          <w:tab w:val="left" w:leader="none" w:pos="2160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Palatino Linotyp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tabs>
          <w:tab w:val="left" w:leader="none" w:pos="1890"/>
          <w:tab w:val="left" w:leader="none" w:pos="2160"/>
        </w:tabs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right" w:leader="none" w:pos="9000"/>
      </w:tabs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tabs>
        <w:tab w:val="right" w:leader="none" w:pos="9000"/>
      </w:tabs>
      <w:ind w:left="360" w:hanging="360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tabs>
        <w:tab w:val="right" w:leader="none" w:pos="9000"/>
      </w:tabs>
      <w:ind w:left="540" w:hanging="522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right" w:leader="none" w:pos="9000"/>
      </w:tabs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tabs>
        <w:tab w:val="right" w:leader="none" w:pos="9000"/>
      </w:tabs>
      <w:ind w:left="360" w:hanging="360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tabs>
        <w:tab w:val="right" w:leader="none" w:pos="9000"/>
      </w:tabs>
      <w:ind w:left="540" w:hanging="522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B63998"/>
    <w:pPr>
      <w:tabs>
        <w:tab w:val="left" w:pos="1890"/>
        <w:tab w:val="left" w:pos="2160"/>
      </w:tabs>
    </w:pPr>
    <w:rPr>
      <w:rFonts w:ascii="Palatino Linotype" w:hAnsi="Palatino Linotype"/>
      <w:noProof w:val="1"/>
      <w:lang w:val="en-US"/>
    </w:rPr>
  </w:style>
  <w:style w:type="paragraph" w:styleId="Heading1">
    <w:name w:val="heading 1"/>
    <w:basedOn w:val="Subtitle"/>
    <w:next w:val="Normal"/>
    <w:link w:val="Heading1Char"/>
    <w:uiPriority w:val="9"/>
    <w:qFormat w:val="1"/>
    <w:rsid w:val="008C7197"/>
    <w:pPr>
      <w:tabs>
        <w:tab w:val="right" w:pos="9000"/>
      </w:tabs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 w:val="1"/>
    <w:qFormat w:val="1"/>
    <w:rsid w:val="008C7197"/>
    <w:pPr>
      <w:numPr>
        <w:numId w:val="1"/>
      </w:num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 w:val="1"/>
    <w:qFormat w:val="1"/>
    <w:rsid w:val="008C7197"/>
    <w:pPr>
      <w:numPr>
        <w:ilvl w:val="1"/>
      </w:numPr>
      <w:ind w:left="540" w:hanging="522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AC232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AC232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AC232C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C232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C232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C232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C7197"/>
    <w:rPr>
      <w:rFonts w:ascii="Palatino Linotype" w:hAnsi="Palatino Linotype"/>
      <w:b w:val="1"/>
      <w:bCs w:val="1"/>
      <w:noProof w:val="1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8C7197"/>
    <w:rPr>
      <w:rFonts w:ascii="Palatino Linotype" w:hAnsi="Palatino Linotype"/>
      <w:b w:val="1"/>
      <w:bCs w:val="1"/>
      <w:noProof w:val="1"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8C7197"/>
    <w:rPr>
      <w:rFonts w:ascii="Palatino Linotype" w:hAnsi="Palatino Linotype"/>
      <w:b w:val="1"/>
      <w:bCs w:val="1"/>
      <w:noProof w:val="1"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C232C"/>
    <w:rPr>
      <w:rFonts w:cstheme="majorBidi" w:eastAsiaTheme="majorEastAsia"/>
      <w:i w:val="1"/>
      <w:iCs w:val="1"/>
      <w:noProof w:val="1"/>
      <w:color w:val="0f4761" w:themeColor="accent1" w:themeShade="0000BF"/>
      <w:lang w:val="id-ID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C232C"/>
    <w:rPr>
      <w:rFonts w:cstheme="majorBidi" w:eastAsiaTheme="majorEastAsia"/>
      <w:noProof w:val="1"/>
      <w:color w:val="0f4761" w:themeColor="accent1" w:themeShade="0000BF"/>
      <w:lang w:val="id-ID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C232C"/>
    <w:rPr>
      <w:rFonts w:cstheme="majorBidi" w:eastAsiaTheme="majorEastAsia"/>
      <w:i w:val="1"/>
      <w:iCs w:val="1"/>
      <w:noProof w:val="1"/>
      <w:color w:val="595959" w:themeColor="text1" w:themeTint="0000A6"/>
      <w:lang w:val="id-ID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C232C"/>
    <w:rPr>
      <w:rFonts w:cstheme="majorBidi" w:eastAsiaTheme="majorEastAsia"/>
      <w:noProof w:val="1"/>
      <w:color w:val="595959" w:themeColor="text1" w:themeTint="0000A6"/>
      <w:lang w:val="id-ID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C232C"/>
    <w:rPr>
      <w:rFonts w:cstheme="majorBidi" w:eastAsiaTheme="majorEastAsia"/>
      <w:i w:val="1"/>
      <w:iCs w:val="1"/>
      <w:noProof w:val="1"/>
      <w:color w:val="272727" w:themeColor="text1" w:themeTint="0000D8"/>
      <w:lang w:val="id-ID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C232C"/>
    <w:rPr>
      <w:rFonts w:cstheme="majorBidi" w:eastAsiaTheme="majorEastAsia"/>
      <w:noProof w:val="1"/>
      <w:color w:val="272727" w:themeColor="text1" w:themeTint="0000D8"/>
      <w:lang w:val="id-ID"/>
    </w:rPr>
  </w:style>
  <w:style w:type="paragraph" w:styleId="Title">
    <w:name w:val="Title"/>
    <w:basedOn w:val="Normal"/>
    <w:next w:val="Normal"/>
    <w:link w:val="TitleChar"/>
    <w:uiPriority w:val="10"/>
    <w:qFormat w:val="1"/>
    <w:rsid w:val="00AC232C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232C"/>
    <w:rPr>
      <w:rFonts w:asciiTheme="majorHAnsi" w:cstheme="majorBidi" w:eastAsiaTheme="majorEastAsia" w:hAnsiTheme="majorHAnsi"/>
      <w:noProof w:val="1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AC232C"/>
    <w:rPr>
      <w:b w:val="1"/>
      <w:bCs w:val="1"/>
      <w:sz w:val="32"/>
      <w:szCs w:val="32"/>
    </w:rPr>
  </w:style>
  <w:style w:type="character" w:styleId="SubtitleChar" w:customStyle="1">
    <w:name w:val="Subtitle Char"/>
    <w:basedOn w:val="DefaultParagraphFont"/>
    <w:link w:val="Subtitle"/>
    <w:uiPriority w:val="11"/>
    <w:rsid w:val="00AC232C"/>
    <w:rPr>
      <w:rFonts w:ascii="Palatino Linotype" w:hAnsi="Palatino Linotype"/>
      <w:b w:val="1"/>
      <w:bCs w:val="1"/>
      <w:noProof w:val="1"/>
      <w:sz w:val="32"/>
      <w:szCs w:val="32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C232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C232C"/>
    <w:rPr>
      <w:i w:val="1"/>
      <w:iCs w:val="1"/>
      <w:noProof w:val="1"/>
      <w:color w:val="404040" w:themeColor="text1" w:themeTint="0000BF"/>
      <w:lang w:val="id-ID"/>
    </w:rPr>
  </w:style>
  <w:style w:type="paragraph" w:styleId="ListParagraph">
    <w:name w:val="List Paragraph"/>
    <w:basedOn w:val="Normal"/>
    <w:uiPriority w:val="34"/>
    <w:qFormat w:val="1"/>
    <w:rsid w:val="00AC232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C232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C232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232C"/>
    <w:rPr>
      <w:i w:val="1"/>
      <w:iCs w:val="1"/>
      <w:noProof w:val="1"/>
      <w:color w:val="0f4761" w:themeColor="accent1" w:themeShade="0000BF"/>
      <w:lang w:val="id-ID"/>
    </w:rPr>
  </w:style>
  <w:style w:type="character" w:styleId="IntenseReference">
    <w:name w:val="Intense Reference"/>
    <w:basedOn w:val="DefaultParagraphFont"/>
    <w:uiPriority w:val="32"/>
    <w:qFormat w:val="1"/>
    <w:rsid w:val="00AC232C"/>
    <w:rPr>
      <w:b w:val="1"/>
      <w:bCs w:val="1"/>
      <w:smallCaps w:val="1"/>
      <w:color w:val="0f4761" w:themeColor="accent1" w:themeShade="0000BF"/>
      <w:spacing w:val="5"/>
    </w:rPr>
  </w:style>
  <w:style w:type="character" w:styleId="SubtleEmphasis">
    <w:name w:val="Subtle Emphasis"/>
    <w:uiPriority w:val="19"/>
    <w:qFormat w:val="1"/>
    <w:rsid w:val="00AC232C"/>
    <w:rPr>
      <w:color w:val="ff0000"/>
      <w:sz w:val="20"/>
      <w:szCs w:val="20"/>
    </w:rPr>
  </w:style>
  <w:style w:type="table" w:styleId="TableGrid">
    <w:name w:val="Table Grid"/>
    <w:basedOn w:val="TableNormal"/>
    <w:uiPriority w:val="39"/>
    <w:rsid w:val="00AC232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14551F"/>
    <w:pPr>
      <w:tabs>
        <w:tab w:val="clear" w:pos="1890"/>
        <w:tab w:val="clear" w:pos="2160"/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551F"/>
    <w:rPr>
      <w:rFonts w:ascii="Palatino Linotype" w:hAnsi="Palatino Linotype"/>
      <w:noProof w:val="1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14551F"/>
    <w:pPr>
      <w:tabs>
        <w:tab w:val="clear" w:pos="1890"/>
        <w:tab w:val="clear" w:pos="2160"/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551F"/>
    <w:rPr>
      <w:rFonts w:ascii="Palatino Linotype" w:hAnsi="Palatino Linotype"/>
      <w:noProof w:val="1"/>
      <w:lang w:val="en-US"/>
    </w:rPr>
  </w:style>
  <w:style w:type="paragraph" w:styleId="Subtitle">
    <w:name w:val="Subtitle"/>
    <w:basedOn w:val="Normal"/>
    <w:next w:val="Normal"/>
    <w:pPr/>
    <w:rPr>
      <w:b w:val="1"/>
      <w:sz w:val="32"/>
      <w:szCs w:val="3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b w:val="1"/>
      <w:bCs w:val="1"/>
      <w:sz w:val="32"/>
      <w:szCs w:val="3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PalatinoLinotype-regular.ttf"/><Relationship Id="rId4" Type="http://schemas.openxmlformats.org/officeDocument/2006/relationships/font" Target="fonts/PalatinoLinotype-bold.ttf"/><Relationship Id="rId5" Type="http://schemas.openxmlformats.org/officeDocument/2006/relationships/font" Target="fonts/PalatinoLinotype-italic.ttf"/><Relationship Id="rId6" Type="http://schemas.openxmlformats.org/officeDocument/2006/relationships/font" Target="fonts/PalatinoLinotype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wwvYrsXBLe4yInlnUObc8gi7Lg==">CgMxLjA4AHIhMVFOemcxN0ZnODNybEZXVTNpUFN6c3RmWDJ0T3M3bGJl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2024-05-06T11:47:00Z</dcterms:created>
  <dc:creator>Siti Rizny F.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0x010100CA34A08C9C36AA45BB9F5FA2EFB382EC</vt:lpwstr>
  </property>
</Properties>
</file>