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MØTEREFERAT (en mal fra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done.no</w:t>
        </w:r>
      </w:hyperlink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Møtereferat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4"/>
        <w:gridCol w:w="2264"/>
        <w:gridCol w:w="2264"/>
        <w:gridCol w:w="2264"/>
        <w:tblGridChange w:id="0">
          <w:tblGrid>
            <w:gridCol w:w="2264"/>
            <w:gridCol w:w="2264"/>
            <w:gridCol w:w="2264"/>
            <w:gridCol w:w="22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Prosjektnavn: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Prosjektleder: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Møtedeltagere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Dato: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Målsetting: Å beskrive hva medlemmene ble enig om på prosjektmøte eller arbeidsmøte</w:t>
      </w:r>
    </w:p>
    <w:p w:rsidR="00000000" w:rsidDel="00000000" w:rsidP="00000000" w:rsidRDefault="00000000" w:rsidRPr="00000000" w14:paraId="0000000F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Målgruppe: Prosjektledere, deltagere i prosjektgruppen, ledere i bedriften og sentrale samarbeidspartner</w:t>
      </w:r>
    </w:p>
    <w:p w:rsidR="00000000" w:rsidDel="00000000" w:rsidP="00000000" w:rsidRDefault="00000000" w:rsidRPr="00000000" w14:paraId="00000011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Ansvarlig: Prosjektleder er ansvarlig for at møtereferat utarbeides</w:t>
      </w:r>
    </w:p>
    <w:p w:rsidR="00000000" w:rsidDel="00000000" w:rsidP="00000000" w:rsidRDefault="00000000" w:rsidRPr="00000000" w14:paraId="00000013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Når: Snarest etter møte</w:t>
      </w:r>
    </w:p>
    <w:p w:rsidR="00000000" w:rsidDel="00000000" w:rsidP="00000000" w:rsidRDefault="00000000" w:rsidRPr="00000000" w14:paraId="00000015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bCs w:val="1"/>
          <w:i w:val="1"/>
          <w:iCs w:val="1"/>
          <w:shd w:fill="f2f2f2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hd w:fill="f2f2f2" w:val="clear"/>
          <w:rtl w:val="0"/>
        </w:rPr>
        <w:t xml:space="preserve">Dette er et utgangspunkt som du fritt kan tilpasse til eget behov!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bCs w:val="1"/>
          <w:i w:val="1"/>
          <w:iCs w:val="1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1"/>
        <w:gridCol w:w="1811"/>
        <w:gridCol w:w="1811"/>
        <w:gridCol w:w="1811"/>
        <w:gridCol w:w="1812"/>
        <w:tblGridChange w:id="0">
          <w:tblGrid>
            <w:gridCol w:w="1811"/>
            <w:gridCol w:w="1811"/>
            <w:gridCol w:w="1811"/>
            <w:gridCol w:w="1811"/>
            <w:gridCol w:w="1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Sak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Status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Hva må gjøres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Ferdig når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Ansvarlig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1285875" cy="361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ne.no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