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60" w:lineRule="auto"/>
        <w:rPr>
          <w:rFonts w:ascii="Times New Roman" w:cs="Times New Roman" w:eastAsia="Times New Roman" w:hAnsi="Times New Roman"/>
          <w:b w:val="1"/>
          <w:bCs w:val="1"/>
          <w:color w:val="333333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33333"/>
          <w:sz w:val="23"/>
          <w:szCs w:val="23"/>
          <w:rtl w:val="0"/>
        </w:rPr>
        <w:t xml:space="preserve">Thuế suất thuế GTGT</w:t>
      </w:r>
    </w:p>
    <w:p w:rsidR="00000000" w:rsidDel="00000000" w:rsidP="00000000" w:rsidRDefault="00000000" w:rsidRPr="00000000" w14:paraId="00000002">
      <w:pPr>
        <w:shd w:fill="ffffff" w:val="clear"/>
        <w:spacing w:after="160" w:lineRule="auto"/>
        <w:rPr>
          <w:rFonts w:ascii="Times New Roman" w:cs="Times New Roman" w:eastAsia="Times New Roman" w:hAnsi="Times New Roman"/>
          <w:color w:val="333333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3"/>
          <w:szCs w:val="23"/>
          <w:rtl w:val="0"/>
        </w:rPr>
        <w:t xml:space="preserve">Tỷ lệ tính thuế giá trị gia tăng (GTGT): Đối với hộ kinh doanh có doanh thu trên 1 tỷ đồng/năm, thuế GTGT được tính theo tỷ lệ % trên doanh thu. Căn cứ vào ngành nghề kinh doanh tỷ lệ % tính thuế GTGT được xác định như sau:</w:t>
      </w:r>
    </w:p>
    <w:tbl>
      <w:tblPr>
        <w:tblStyle w:val="Table1"/>
        <w:tblW w:w="4695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2940"/>
        <w:gridCol w:w="1755"/>
        <w:tblGridChange w:id="0">
          <w:tblGrid>
            <w:gridCol w:w="2940"/>
            <w:gridCol w:w="1755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  <w:rtl w:val="0"/>
              </w:rPr>
              <w:t xml:space="preserve">Nhóm ngành nghề kinh doanh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  <w:rtl w:val="0"/>
              </w:rPr>
              <w:t xml:space="preserve">Tỷ lệ % tính thuế GTGT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Phân phối, cung cấp hàng hóa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1%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Dịch vụ, xây dựng không bao thầu nguyên vật liệu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5%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Sản xuất, vận tải, dịch vụ có gắn với hàng hóa, xây dựng có bao thầu nguyên vật liệu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3%</w:t>
            </w:r>
          </w:p>
          <w:p w:rsidR="00000000" w:rsidDel="00000000" w:rsidP="00000000" w:rsidRDefault="00000000" w:rsidRPr="00000000" w14:paraId="0000000B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Hoạt động kinh doanh khác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2%</w:t>
            </w:r>
          </w:p>
        </w:tc>
      </w:tr>
    </w:tbl>
    <w:p w:rsidR="00000000" w:rsidDel="00000000" w:rsidP="00000000" w:rsidRDefault="00000000" w:rsidRPr="00000000" w14:paraId="0000000E">
      <w:pPr>
        <w:shd w:fill="ffffff" w:val="clear"/>
        <w:spacing w:after="160" w:lineRule="auto"/>
        <w:rPr>
          <w:rFonts w:ascii="Times New Roman" w:cs="Times New Roman" w:eastAsia="Times New Roman" w:hAnsi="Times New Roman"/>
          <w:b w:val="1"/>
          <w:bCs w:val="1"/>
          <w:color w:val="333333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33333"/>
          <w:sz w:val="23"/>
          <w:szCs w:val="23"/>
          <w:rtl w:val="0"/>
        </w:rPr>
        <w:t xml:space="preserve">**Thuế suất thuế TNCN</w:t>
      </w:r>
    </w:p>
    <w:tbl>
      <w:tblPr>
        <w:tblStyle w:val="Table2"/>
        <w:tblW w:w="4695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2925"/>
        <w:gridCol w:w="1770"/>
        <w:tblGridChange w:id="0">
          <w:tblGrid>
            <w:gridCol w:w="2925"/>
            <w:gridCol w:w="177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  <w:rtl w:val="0"/>
              </w:rPr>
              <w:t xml:space="preserve">Mức doanh thu năm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  <w:rtl w:val="0"/>
              </w:rPr>
              <w:t xml:space="preserve">Thuế suất TNCN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Doanh thu trên 1 tỷ đồng đến 03 tỷ đồng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15%</w:t>
            </w:r>
          </w:p>
          <w:p w:rsidR="00000000" w:rsidDel="00000000" w:rsidP="00000000" w:rsidRDefault="00000000" w:rsidRPr="00000000" w14:paraId="00000013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Doanh thu trên 3 tỷ đến 50 tỷ đồng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17%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Doanh thu trên 50 tỷ đồng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20%</w:t>
            </w:r>
          </w:p>
        </w:tc>
      </w:tr>
    </w:tbl>
    <w:p w:rsidR="00000000" w:rsidDel="00000000" w:rsidP="00000000" w:rsidRDefault="00000000" w:rsidRPr="00000000" w14:paraId="00000018">
      <w:pPr>
        <w:shd w:fill="ffffff" w:val="clear"/>
        <w:spacing w:after="160" w:lineRule="auto"/>
        <w:rPr>
          <w:rFonts w:ascii="Times New Roman" w:cs="Times New Roman" w:eastAsia="Times New Roman" w:hAnsi="Times New Roman"/>
          <w:i w:val="1"/>
          <w:iCs w:val="1"/>
          <w:color w:val="333333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333333"/>
          <w:sz w:val="23"/>
          <w:szCs w:val="23"/>
          <w:rtl w:val="0"/>
        </w:rPr>
        <w:t xml:space="preserve">Riêng hộ kinh doanh có doanh thu năm trên 1 tỷ đồng đến 3 tỷ đồng lựa chọn nộp thuế TNCN trên doanh thu thì căn cứ ngành nghề kinh doanh thuế suất thuế TNCN được xác định như sau:</w:t>
      </w:r>
    </w:p>
    <w:tbl>
      <w:tblPr>
        <w:tblStyle w:val="Table3"/>
        <w:tblW w:w="4695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2940"/>
        <w:gridCol w:w="1755"/>
        <w:tblGridChange w:id="0">
          <w:tblGrid>
            <w:gridCol w:w="2940"/>
            <w:gridCol w:w="1755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  <w:rtl w:val="0"/>
              </w:rPr>
              <w:t xml:space="preserve">Nhóm ngành nghề kinh doanh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33333"/>
                <w:sz w:val="23"/>
                <w:szCs w:val="23"/>
                <w:rtl w:val="0"/>
              </w:rPr>
              <w:t xml:space="preserve">Thuế suất Thuế TNCN (%)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Phân phối, cung cấp hàng hóa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0,5%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Dịch vụ, xây dựng không bao thầu nguyên vật liệu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2%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Hoạt động cho thuê tài sản, đại lý bảo hiểm, đại lý xổ số, đại lý bán hàng đa cấp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5%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Sản xuất, vận tải, dịch vụ có gắn với hàng hóa, xây dựng có bao thầu nguyên vật liệu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1,5%</w:t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Hoạt động cung cấp sản phẩm và dịch vụ nội dung thông tin số về giải trí, trò chơi điện tử, phim số, ảnh số, nhạc số, quảng cáo số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5%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160" w:lineRule="auto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Hoạt động kinh doanh khác</w:t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1%</w:t>
            </w:r>
          </w:p>
          <w:p w:rsidR="00000000" w:rsidDel="00000000" w:rsidP="00000000" w:rsidRDefault="00000000" w:rsidRPr="00000000" w14:paraId="00000027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3"/>
                <w:szCs w:val="23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