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footer1.xml.rels" ContentType="application/vnd.openxmlformats-package.relationships+xml"/>
  <Override PartName="/word/_rels/header3.xml.rels" ContentType="application/vnd.openxmlformats-package.relationships+xml"/>
  <Override PartName="/word/_rels/footer3.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s/font9.odttf" ContentType="application/vnd.openxmlformats-officedocument.obfuscatedFont"/>
  <Override PartName="/word/fonts/font15.odttf" ContentType="application/vnd.openxmlformats-officedocument.obfuscatedFont"/>
  <Override PartName="/word/fonts/font8.odttf" ContentType="application/vnd.openxmlformats-officedocument.obfuscatedFont"/>
  <Override PartName="/word/fonts/font14.odttf" ContentType="application/vnd.openxmlformats-officedocument.obfuscatedFont"/>
  <Override PartName="/word/fonts/font7.odttf" ContentType="application/vnd.openxmlformats-officedocument.obfuscatedFont"/>
  <Override PartName="/word/fonts/font13.odttf" ContentType="application/vnd.openxmlformats-officedocument.obfuscatedFont"/>
  <Override PartName="/word/fonts/font6.odttf" ContentType="application/vnd.openxmlformats-officedocument.obfuscatedFont"/>
  <Override PartName="/word/fonts/font12.odttf" ContentType="application/vnd.openxmlformats-officedocument.obfuscatedFont"/>
  <Override PartName="/word/fonts/font5.odttf" ContentType="application/vnd.openxmlformats-officedocument.obfuscatedFont"/>
  <Override PartName="/word/fonts/font11.odttf" ContentType="application/vnd.openxmlformats-officedocument.obfuscatedFont"/>
  <Override PartName="/word/fonts/font4.odttf" ContentType="application/vnd.openxmlformats-officedocument.obfuscatedFont"/>
  <Override PartName="/word/fonts/font10.odttf" ContentType="application/vnd.openxmlformats-officedocument.obfuscatedFont"/>
  <Override PartName="/word/fonts/font3.odttf" ContentType="application/vnd.openxmlformats-officedocument.obfuscatedFont"/>
  <Override PartName="/word/fonts/font2.odttf" ContentType="application/vnd.openxmlformats-officedocument.obfuscatedFont"/>
  <Override PartName="/word/fonts/font27.odttf" ContentType="application/vnd.openxmlformats-officedocument.obfuscatedFont"/>
  <Override PartName="/word/fonts/font26.odttf" ContentType="application/vnd.openxmlformats-officedocument.obfuscatedFont"/>
  <Override PartName="/word/fonts/font25.odttf" ContentType="application/vnd.openxmlformats-officedocument.obfuscatedFont"/>
  <Override PartName="/word/fonts/font24.odttf" ContentType="application/vnd.openxmlformats-officedocument.obfuscatedFont"/>
  <Override PartName="/word/fonts/font23.odttf" ContentType="application/vnd.openxmlformats-officedocument.obfuscatedFont"/>
  <Override PartName="/word/fonts/font22.odttf" ContentType="application/vnd.openxmlformats-officedocument.obfuscatedFont"/>
  <Override PartName="/word/fonts/font1.odttf" ContentType="application/vnd.openxmlformats-officedocument.obfuscatedFont"/>
  <Override PartName="/word/fonts/font21.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18.odttf" ContentType="application/vnd.openxmlformats-officedocument.obfuscatedFont"/>
  <Override PartName="/word/fonts/font17.odttf" ContentType="application/vnd.openxmlformats-officedocument.obfuscatedFont"/>
  <Override PartName="/word/fonts/font16.odttf" ContentType="application/vnd.openxmlformats-officedocument.obfuscatedFont"/>
  <Override PartName="/word/media/image1.jpeg" ContentType="image/jpeg"/>
  <Override PartName="/word/media/image2.png" ContentType="image/png"/>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pageBreakBefore w:val="false"/>
        <w:spacing w:lineRule="auto" w:line="240" w:before="0" w:after="0"/>
        <w:jc w:val="both"/>
        <w:rPr/>
      </w:pPr>
      <w:r>
        <w:rPr>
          <w:rFonts w:eastAsia="Arial" w:cs="Arial" w:ascii="Arial" w:hAnsi="Arial"/>
        </w:rPr>
        <w:t>Candidate's name: _______________________________________________</w:t>
      </w:r>
    </w:p>
    <w:p>
      <w:pPr>
        <w:pStyle w:val="normal1"/>
        <w:spacing w:lineRule="auto" w:line="240" w:before="0" w:after="0"/>
        <w:jc w:val="left"/>
        <w:rPr>
          <w:rFonts w:ascii="Arial" w:hAnsi="Arial" w:eastAsia="Arial" w:cs="Arial"/>
          <w:b/>
          <w:bCs/>
        </w:rPr>
      </w:pPr>
      <w:r>
        <w:rPr>
          <w:rFonts w:eastAsia="Arial" w:cs="Arial" w:ascii="Arial" w:hAnsi="Arial"/>
          <w:b/>
          <w:bCs/>
        </w:rPr>
      </w:r>
      <w:bookmarkStart w:id="0" w:name="bookmark=id.4diu4n2nlr18"/>
      <w:bookmarkStart w:id="1" w:name="bookmark=id.4diu4n2nlr18"/>
      <w:bookmarkEnd w:id="1"/>
    </w:p>
    <w:tbl>
      <w:tblPr>
        <w:tblStyle w:val="Table25"/>
        <w:tblW w:w="9134" w:type="dxa"/>
        <w:jc w:val="center"/>
        <w:tblInd w:w="0" w:type="dxa"/>
        <w:tblLayout w:type="fixed"/>
        <w:tblCellMar>
          <w:top w:w="0" w:type="dxa"/>
          <w:left w:w="108" w:type="dxa"/>
          <w:bottom w:w="0" w:type="dxa"/>
          <w:right w:w="108" w:type="dxa"/>
        </w:tblCellMar>
        <w:tblLook w:val="0000"/>
      </w:tblPr>
      <w:tblGrid>
        <w:gridCol w:w="569"/>
        <w:gridCol w:w="3460"/>
        <w:gridCol w:w="1073"/>
        <w:gridCol w:w="63"/>
        <w:gridCol w:w="1013"/>
        <w:gridCol w:w="1257"/>
        <w:gridCol w:w="570"/>
        <w:gridCol w:w="1128"/>
      </w:tblGrid>
      <w:tr>
        <w:trPr>
          <w:tblHeader w:val="true"/>
          <w:cantSplit w:val="true"/>
        </w:trPr>
        <w:tc>
          <w:tcPr>
            <w:tcW w:w="9133" w:type="dxa"/>
            <w:gridSpan w:val="8"/>
            <w:tcBorders/>
            <w:vAlign w:val="center"/>
          </w:tcPr>
          <w:p>
            <w:pPr>
              <w:pStyle w:val="normal1"/>
              <w:widowControl w:val="false"/>
              <w:spacing w:lineRule="auto" w:line="240" w:before="0" w:after="0"/>
              <w:jc w:val="center"/>
              <w:rPr/>
            </w:pPr>
            <w:bookmarkStart w:id="2" w:name="bookmark=id.4diu4n2nlr18_Copia_1"/>
            <w:bookmarkEnd w:id="2"/>
            <w:r>
              <w:rPr>
                <w:rFonts w:eastAsia="Arial" w:cs="Arial" w:ascii="Arial" w:hAnsi="Arial"/>
                <w:b/>
                <w:bCs/>
                <w:color w:val="000000"/>
                <w:position w:val="0"/>
                <w:sz w:val="24"/>
                <w:sz w:val="24"/>
                <w:szCs w:val="24"/>
                <w:vertAlign w:val="baseline"/>
              </w:rPr>
              <w:t>Annex IV of Public Notice No. 018/2026 – PGRN/UEMS</w:t>
            </w:r>
          </w:p>
          <w:p>
            <w:pPr>
              <w:pStyle w:val="normal1"/>
              <w:keepNext w:val="false"/>
              <w:keepLines w:val="false"/>
              <w:widowControl w:val="false"/>
              <w:spacing w:lineRule="auto" w:line="240" w:before="0" w:after="0"/>
              <w:ind w:hanging="0" w:right="0"/>
              <w:jc w:val="center"/>
              <w:rPr/>
            </w:pPr>
            <w:r>
              <w:rPr>
                <w:rFonts w:eastAsia="Arial" w:cs="Arial" w:ascii="Arial" w:hAnsi="Arial"/>
                <w:b/>
                <w:bCs/>
                <w:i w:val="false"/>
                <w:iCs w:val="false"/>
                <w:caps w:val="false"/>
                <w:smallCaps w:val="false"/>
                <w:strike w:val="false"/>
                <w:dstrike w:val="false"/>
                <w:color w:val="000000"/>
                <w:position w:val="0"/>
                <w:sz w:val="24"/>
                <w:sz w:val="24"/>
                <w:szCs w:val="24"/>
                <w:u w:val="none"/>
                <w:vertAlign w:val="baseline"/>
              </w:rPr>
              <w:t>Table for scoring the Lattes Curriculum.</w:t>
            </w:r>
          </w:p>
        </w:tc>
      </w:tr>
      <w:tr>
        <w:trPr>
          <w:tblHeader w:val="true"/>
          <w:cantSplit w:val="true"/>
        </w:trPr>
        <w:tc>
          <w:tcPr>
            <w:tcW w:w="9133" w:type="dxa"/>
            <w:gridSpan w:val="8"/>
            <w:tcBorders/>
            <w:vAlign w:val="center"/>
          </w:tcPr>
          <w:p>
            <w:pPr>
              <w:pStyle w:val="normal1"/>
              <w:keepNext w:val="false"/>
              <w:keepLines w:val="false"/>
              <w:widowControl w:val="false"/>
              <w:spacing w:lineRule="auto" w:line="240" w:before="0" w:after="0"/>
              <w:ind w:hanging="0" w:right="0"/>
              <w:jc w:val="both"/>
              <w:rPr/>
            </w:pPr>
            <w:bookmarkStart w:id="3" w:name="_heading=h.tq7pgbja5hi3"/>
            <w:bookmarkEnd w:id="3"/>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rPr>
              <w:t>(Applicants are asked to consider only activities carried out between 2022 and 2026 (up to the date of registration), with the exception of specialization courses, which may be prior to the aforementioned period):</w:t>
            </w:r>
          </w:p>
        </w:tc>
      </w:tr>
      <w:tr>
        <w:trPr>
          <w:tblHeader w:val="true"/>
          <w:trHeight w:val="1325" w:hRule="atLeast"/>
          <w:cantSplit w:val="true"/>
        </w:trPr>
        <w:tc>
          <w:tcPr>
            <w:tcW w:w="569" w:type="dxa"/>
            <w:tcBorders>
              <w:top w:val="single" w:sz="4" w:space="0" w:color="000000"/>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b/>
                <w:bCs/>
                <w:color w:val="000000"/>
                <w:position w:val="0"/>
                <w:sz w:val="21"/>
                <w:sz w:val="21"/>
                <w:szCs w:val="21"/>
                <w:vertAlign w:val="baseline"/>
              </w:rPr>
              <w:t>Ord.</w:t>
            </w:r>
          </w:p>
        </w:tc>
        <w:tc>
          <w:tcPr>
            <w:tcW w:w="3460" w:type="dxa"/>
            <w:tcBorders>
              <w:top w:val="single" w:sz="4" w:space="0" w:color="000000"/>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b/>
                <w:bCs/>
                <w:color w:val="000000"/>
                <w:position w:val="0"/>
                <w:sz w:val="21"/>
                <w:sz w:val="21"/>
                <w:szCs w:val="21"/>
                <w:vertAlign w:val="baseline"/>
              </w:rPr>
              <w:t>Item evaluated</w:t>
            </w:r>
          </w:p>
        </w:tc>
        <w:tc>
          <w:tcPr>
            <w:tcW w:w="1136" w:type="dxa"/>
            <w:gridSpan w:val="2"/>
            <w:tcBorders>
              <w:top w:val="single" w:sz="4" w:space="0" w:color="000000"/>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b/>
                <w:bCs/>
                <w:color w:val="000000"/>
                <w:position w:val="0"/>
                <w:sz w:val="21"/>
                <w:sz w:val="21"/>
                <w:szCs w:val="21"/>
                <w:vertAlign w:val="baseline"/>
              </w:rPr>
              <w:t>Condition</w:t>
            </w:r>
          </w:p>
        </w:tc>
        <w:tc>
          <w:tcPr>
            <w:tcW w:w="1013" w:type="dxa"/>
            <w:tcBorders>
              <w:top w:val="single" w:sz="4" w:space="0" w:color="000000"/>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b/>
                <w:bCs/>
                <w:color w:val="000000"/>
                <w:position w:val="0"/>
                <w:sz w:val="21"/>
                <w:sz w:val="21"/>
                <w:szCs w:val="21"/>
                <w:vertAlign w:val="baseline"/>
              </w:rPr>
              <w:t>Unit</w:t>
            </w:r>
          </w:p>
        </w:tc>
        <w:tc>
          <w:tcPr>
            <w:tcW w:w="1257" w:type="dxa"/>
            <w:tcBorders>
              <w:top w:val="single" w:sz="4" w:space="0" w:color="000000"/>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b/>
                <w:bCs/>
                <w:color w:val="000000"/>
                <w:position w:val="0"/>
                <w:sz w:val="21"/>
                <w:sz w:val="21"/>
                <w:szCs w:val="21"/>
                <w:vertAlign w:val="baseline"/>
              </w:rPr>
              <w:t>Score</w:t>
            </w:r>
          </w:p>
        </w:tc>
        <w:tc>
          <w:tcPr>
            <w:tcW w:w="570" w:type="dxa"/>
            <w:tcBorders>
              <w:top w:val="single" w:sz="4" w:space="0" w:color="000000"/>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Amount</w:t>
            </w:r>
          </w:p>
        </w:tc>
        <w:tc>
          <w:tcPr>
            <w:tcW w:w="112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ind w:hanging="0" w:left="113" w:right="0"/>
              <w:jc w:val="center"/>
              <w:rPr>
                <w:rFonts w:ascii="Arial" w:hAnsi="Arial" w:eastAsia="Arial" w:cs="Arial"/>
                <w:b/>
                <w:bCs/>
                <w:color w:val="000000"/>
                <w:position w:val="0"/>
                <w:sz w:val="21"/>
                <w:sz w:val="21"/>
                <w:szCs w:val="21"/>
                <w:vertAlign w:val="baseline"/>
              </w:rPr>
            </w:pPr>
            <w:r>
              <w:rPr>
                <w:rFonts w:eastAsia="Arial" w:cs="Arial" w:ascii="Arial" w:hAnsi="Arial"/>
                <w:b/>
                <w:bCs/>
                <w:color w:val="000000"/>
                <w:position w:val="0"/>
                <w:sz w:val="21"/>
                <w:sz w:val="21"/>
                <w:szCs w:val="21"/>
                <w:vertAlign w:val="baseline"/>
              </w:rPr>
            </w:r>
          </w:p>
          <w:p>
            <w:pPr>
              <w:pStyle w:val="normal1"/>
              <w:widowControl w:val="false"/>
              <w:spacing w:lineRule="auto" w:line="240" w:before="0" w:after="0"/>
              <w:ind w:hanging="0" w:left="113" w:right="0"/>
              <w:jc w:val="center"/>
              <w:rPr/>
            </w:pPr>
            <w:r>
              <w:rPr>
                <w:rFonts w:eastAsia="Arial" w:cs="Arial" w:ascii="Arial" w:hAnsi="Arial"/>
                <w:b/>
                <w:bCs/>
                <w:color w:val="000000"/>
                <w:position w:val="0"/>
                <w:sz w:val="21"/>
                <w:sz w:val="21"/>
                <w:szCs w:val="21"/>
                <w:vertAlign w:val="baseline"/>
              </w:rPr>
              <w:t>Subtotal</w:t>
            </w:r>
          </w:p>
          <w:p>
            <w:pPr>
              <w:pStyle w:val="normal1"/>
              <w:widowControl w:val="false"/>
              <w:spacing w:lineRule="auto" w:line="240" w:before="0" w:after="0"/>
              <w:ind w:hanging="0" w:left="113" w:right="0"/>
              <w:jc w:val="center"/>
              <w:rPr>
                <w:rFonts w:ascii="Arial" w:hAnsi="Arial" w:eastAsia="Arial" w:cs="Arial"/>
                <w:b/>
                <w:bCs/>
                <w:color w:val="000000"/>
                <w:position w:val="0"/>
                <w:sz w:val="21"/>
                <w:sz w:val="21"/>
                <w:szCs w:val="21"/>
                <w:vertAlign w:val="baseline"/>
              </w:rPr>
            </w:pPr>
            <w:r>
              <w:rPr>
                <w:rFonts w:eastAsia="Arial" w:cs="Arial" w:ascii="Arial" w:hAnsi="Arial"/>
                <w:b/>
                <w:bCs/>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1.</w:t>
            </w:r>
          </w:p>
        </w:tc>
        <w:tc>
          <w:tcPr>
            <w:tcW w:w="8564" w:type="dxa"/>
            <w:gridSpan w:val="7"/>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Courses</w:t>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1.1</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Master's degree completed.</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Student</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Course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20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1.2</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 xml:space="preserve">Specialization course in one of the areas described in item </w:t>
            </w:r>
            <w:r>
              <w:rPr>
                <w:rFonts w:eastAsia="Arial" w:cs="Arial" w:ascii="Arial" w:hAnsi="Arial"/>
                <w:sz w:val="21"/>
                <w:szCs w:val="21"/>
              </w:rPr>
              <w:t xml:space="preserve">3.1 </w:t>
            </w:r>
            <w:r>
              <w:rPr>
                <w:rFonts w:eastAsia="Arial" w:cs="Arial" w:ascii="Arial" w:hAnsi="Arial"/>
                <w:color w:val="000000"/>
                <w:position w:val="0"/>
                <w:sz w:val="21"/>
                <w:sz w:val="21"/>
                <w:szCs w:val="21"/>
                <w:vertAlign w:val="baseline"/>
              </w:rPr>
              <w:t>of this Notice, with a minimum of 360 hours (state the number of hours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Student</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Course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5</w:t>
            </w:r>
          </w:p>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(limited to 10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2.</w:t>
            </w:r>
          </w:p>
        </w:tc>
        <w:tc>
          <w:tcPr>
            <w:tcW w:w="8564" w:type="dxa"/>
            <w:gridSpan w:val="7"/>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Scholarships and Professional Activities</w:t>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bookmarkStart w:id="4" w:name="_heading=h.h71lrb1w050h"/>
            <w:bookmarkEnd w:id="4"/>
            <w:r>
              <w:rPr>
                <w:rFonts w:eastAsia="Arial" w:cs="Arial" w:ascii="Arial" w:hAnsi="Arial"/>
                <w:color w:val="000000"/>
                <w:position w:val="0"/>
                <w:sz w:val="21"/>
                <w:sz w:val="21"/>
                <w:szCs w:val="21"/>
                <w:vertAlign w:val="baseline"/>
              </w:rPr>
              <w:t>2.1</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bookmarkStart w:id="5" w:name="_heading=h.krqk27ejh4en"/>
            <w:bookmarkEnd w:id="5"/>
            <w:r>
              <w:rPr>
                <w:rFonts w:eastAsia="Arial" w:cs="Arial" w:ascii="Arial" w:hAnsi="Arial"/>
                <w:color w:val="000000"/>
                <w:position w:val="0"/>
                <w:sz w:val="21"/>
                <w:sz w:val="21"/>
                <w:szCs w:val="21"/>
                <w:vertAlign w:val="baseline"/>
              </w:rPr>
              <w:t>Teaching in Higher Education (Detail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Teacher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Year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10</w:t>
            </w:r>
          </w:p>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(limited to 30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2.2</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Teaching experience at other educational levels (Detail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Teacher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Year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2</w:t>
            </w:r>
          </w:p>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(limited to 30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2.3</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bookmarkStart w:id="6" w:name="_heading=h.tjb2i6iybsm0"/>
            <w:bookmarkEnd w:id="6"/>
            <w:r>
              <w:rPr>
                <w:rFonts w:eastAsia="Arial" w:cs="Arial" w:ascii="Arial" w:hAnsi="Arial"/>
                <w:sz w:val="21"/>
                <w:szCs w:val="21"/>
              </w:rPr>
              <w:t>Project coordinator (research, teaching, or outreach) - do not consider dissertation or thesis projects.</w:t>
            </w:r>
          </w:p>
          <w:p>
            <w:pPr>
              <w:pStyle w:val="normal1"/>
              <w:widowControl w:val="false"/>
              <w:spacing w:lineRule="auto" w:line="240" w:before="0" w:after="0"/>
              <w:jc w:val="both"/>
              <w:rPr/>
            </w:pPr>
            <w:bookmarkStart w:id="7" w:name="_heading=h.47hc4boymmlh"/>
            <w:bookmarkEnd w:id="7"/>
            <w:r>
              <w:rPr>
                <w:rFonts w:eastAsia="Arial" w:cs="Arial" w:ascii="Arial" w:hAnsi="Arial"/>
                <w:sz w:val="21"/>
                <w:szCs w:val="21"/>
              </w:rPr>
              <w:t>(Detail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sz w:val="21"/>
                <w:szCs w:val="21"/>
              </w:rPr>
              <w:t>Coordinator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sz w:val="21"/>
                <w:szCs w:val="21"/>
              </w:rPr>
              <w:t>Year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sz w:val="21"/>
                <w:szCs w:val="21"/>
              </w:rPr>
              <w:t>10</w:t>
            </w:r>
          </w:p>
          <w:p>
            <w:pPr>
              <w:pStyle w:val="normal1"/>
              <w:widowControl w:val="false"/>
              <w:spacing w:lineRule="auto" w:line="240" w:before="0" w:after="0"/>
              <w:jc w:val="center"/>
              <w:rPr/>
            </w:pPr>
            <w:r>
              <w:rPr>
                <w:rFonts w:eastAsia="Arial" w:cs="Arial" w:ascii="Arial" w:hAnsi="Arial"/>
                <w:sz w:val="21"/>
                <w:szCs w:val="21"/>
              </w:rPr>
              <w:t>(limited to 30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2.4</w:t>
            </w:r>
            <w:r>
              <w:rPr>
                <w:rFonts w:eastAsia="Arial" w:cs="Arial" w:ascii="Arial" w:hAnsi="Arial"/>
                <w:sz w:val="21"/>
                <w:szCs w:val="21"/>
              </w:rPr>
              <w:t>​</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Technological and Industrial Development (DTI) and Higher Level Technical Support (ATNS) scholarships for graduates. (Detail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Scholarship recipient</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Year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5</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2.5</w:t>
            </w:r>
            <w:r>
              <w:rPr>
                <w:rFonts w:eastAsia="Arial" w:cs="Arial" w:ascii="Arial" w:hAnsi="Arial"/>
                <w:sz w:val="21"/>
                <w:szCs w:val="21"/>
              </w:rPr>
              <w:t>​</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Undergraduate research grant (Detail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Student</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Year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10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2.6</w:t>
            </w:r>
            <w:r>
              <w:rPr>
                <w:rFonts w:eastAsia="Arial" w:cs="Arial" w:ascii="Arial" w:hAnsi="Arial"/>
                <w:sz w:val="21"/>
                <w:szCs w:val="21"/>
              </w:rPr>
              <w:t>​</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Scientific Initiation without scholarship (Detail the start and end months on the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Student</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Year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5</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2.7</w:t>
            </w:r>
            <w:r>
              <w:rPr>
                <w:rFonts w:eastAsia="Arial" w:cs="Arial" w:ascii="Arial" w:hAnsi="Arial"/>
                <w:sz w:val="21"/>
                <w:szCs w:val="21"/>
              </w:rPr>
              <w:t>​</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Scholarships for PIBID, PIBEX, Teaching, and Tutoring positions (Detail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Student</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Year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3</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spacing w:lineRule="auto" w:line="240" w:before="0" w:after="0"/>
              <w:rPr/>
            </w:pPr>
            <w:r>
              <w:rPr>
                <w:rFonts w:eastAsia="Arial" w:cs="Arial" w:ascii="Arial" w:hAnsi="Arial"/>
                <w:sz w:val="21"/>
                <w:szCs w:val="21"/>
              </w:rPr>
              <w:t>2.8</w:t>
            </w:r>
          </w:p>
        </w:tc>
        <w:tc>
          <w:tcPr>
            <w:tcW w:w="3460" w:type="dxa"/>
            <w:tcBorders>
              <w:left w:val="single" w:sz="4" w:space="0" w:color="000000"/>
              <w:bottom w:val="single" w:sz="4" w:space="0" w:color="000000"/>
            </w:tcBorders>
            <w:tcMar>
              <w:left w:w="0" w:type="dxa"/>
              <w:right w:w="0" w:type="dxa"/>
            </w:tcMar>
            <w:vAlign w:val="center"/>
          </w:tcPr>
          <w:p>
            <w:pPr>
              <w:pStyle w:val="normal1"/>
              <w:spacing w:lineRule="auto" w:line="240" w:before="0" w:after="0"/>
              <w:jc w:val="both"/>
              <w:rPr/>
            </w:pPr>
            <w:r>
              <w:rPr>
                <w:rFonts w:eastAsia="Arial" w:cs="Arial" w:ascii="Arial" w:hAnsi="Arial"/>
                <w:sz w:val="21"/>
                <w:szCs w:val="21"/>
              </w:rPr>
              <w:t>International mobility for academic purposes (Detail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spacing w:lineRule="auto" w:line="240" w:before="0" w:after="0"/>
              <w:jc w:val="center"/>
              <w:rPr/>
            </w:pPr>
            <w:r>
              <w:rPr>
                <w:rFonts w:eastAsia="Arial" w:cs="Arial" w:ascii="Arial" w:hAnsi="Arial"/>
                <w:sz w:val="21"/>
                <w:szCs w:val="21"/>
              </w:rPr>
              <w:t>Student</w:t>
            </w:r>
          </w:p>
        </w:tc>
        <w:tc>
          <w:tcPr>
            <w:tcW w:w="1013" w:type="dxa"/>
            <w:tcBorders>
              <w:left w:val="single" w:sz="4" w:space="0" w:color="000000"/>
              <w:bottom w:val="single" w:sz="4" w:space="0" w:color="000000"/>
            </w:tcBorders>
            <w:tcMar>
              <w:left w:w="0" w:type="dxa"/>
              <w:right w:w="0" w:type="dxa"/>
            </w:tcMar>
            <w:vAlign w:val="center"/>
          </w:tcPr>
          <w:p>
            <w:pPr>
              <w:pStyle w:val="normal1"/>
              <w:spacing w:lineRule="auto" w:line="240" w:before="0" w:after="0"/>
              <w:jc w:val="center"/>
              <w:rPr/>
            </w:pPr>
            <w:r>
              <w:rPr>
                <w:rFonts w:eastAsia="Arial" w:cs="Arial" w:ascii="Arial" w:hAnsi="Arial"/>
                <w:sz w:val="21"/>
                <w:szCs w:val="21"/>
              </w:rPr>
              <w:t>unit</w:t>
            </w:r>
          </w:p>
        </w:tc>
        <w:tc>
          <w:tcPr>
            <w:tcW w:w="1257" w:type="dxa"/>
            <w:tcBorders>
              <w:left w:val="single" w:sz="4" w:space="0" w:color="000000"/>
              <w:bottom w:val="single" w:sz="4" w:space="0" w:color="000000"/>
            </w:tcBorders>
            <w:tcMar>
              <w:left w:w="0" w:type="dxa"/>
              <w:right w:w="0" w:type="dxa"/>
            </w:tcMar>
            <w:vAlign w:val="center"/>
          </w:tcPr>
          <w:p>
            <w:pPr>
              <w:pStyle w:val="normal1"/>
              <w:spacing w:lineRule="auto" w:line="240" w:before="0" w:after="0"/>
              <w:jc w:val="center"/>
              <w:rPr/>
            </w:pPr>
            <w:r>
              <w:rPr>
                <w:rFonts w:eastAsia="Arial" w:cs="Arial" w:ascii="Arial" w:hAnsi="Arial"/>
                <w:sz w:val="21"/>
                <w:szCs w:val="21"/>
              </w:rPr>
              <w:t>5</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3.</w:t>
            </w:r>
          </w:p>
        </w:tc>
        <w:tc>
          <w:tcPr>
            <w:tcW w:w="8564" w:type="dxa"/>
            <w:gridSpan w:val="7"/>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b/>
                <w:bCs/>
                <w:sz w:val="21"/>
                <w:szCs w:val="21"/>
              </w:rPr>
              <w:t>Articles published in scientific journals indexed with an Impact Factor (JCR) from Web of Science or according to the SCOPUS database based on percentile.</w:t>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3.1</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JCR &gt; 3.75 (87.51% - 100%)</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50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3.2</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 xml:space="preserve">2.75 &lt; JCR </w:t>
            </w:r>
            <w:sdt>
              <w:sdtPr>
                <w:tag w:val="goog_rdk_0"/>
                <w:id w:val="1247722882"/>
              </w:sdtPr>
              <w:sdtContent>
                <w:r>
                  <w:rPr>
                    <w:rFonts w:eastAsia="Arial" w:cs="Arial" w:ascii="Arial" w:hAnsi="Arial"/>
                    <w:sz w:val="21"/>
                    <w:szCs w:val="21"/>
                  </w:rPr>
                </w:r>
                <w:r>
                  <w:rPr>
                    <w:rFonts w:eastAsia="Arial Unicode MS" w:cs="Arial Unicode MS" w:ascii="Arial Unicode MS" w:hAnsi="Arial Unicode MS"/>
                    <w:color w:val="040C28"/>
                    <w:sz w:val="20"/>
                    <w:szCs w:val="20"/>
                  </w:rPr>
                  <w:t xml:space="preserve">≤ 3,75 </w:t>
                </w:r>
              </w:sdtContent>
            </w:sdt>
            <w:r>
              <w:rPr>
                <w:rFonts w:eastAsia="Arial" w:cs="Arial" w:ascii="Arial" w:hAnsi="Arial"/>
                <w:sz w:val="21"/>
                <w:szCs w:val="21"/>
              </w:rPr>
              <w:t>(75.01% - 87.51%)</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45</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trHeight w:val="256" w:hRule="atLeast"/>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3.3</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 xml:space="preserve">1.75 &lt; JCR </w:t>
            </w:r>
            <w:sdt>
              <w:sdtPr>
                <w:tag w:val="goog_rdk_1"/>
                <w:id w:val="1163723959"/>
              </w:sdtPr>
              <w:sdtContent>
                <w:r>
                  <w:rPr>
                    <w:rFonts w:eastAsia="Arial" w:cs="Arial" w:ascii="Arial" w:hAnsi="Arial"/>
                    <w:sz w:val="21"/>
                    <w:szCs w:val="21"/>
                  </w:rPr>
                </w:r>
                <w:r>
                  <w:rPr>
                    <w:rFonts w:eastAsia="Arial Unicode MS" w:cs="Arial Unicode MS" w:ascii="Arial Unicode MS" w:hAnsi="Arial Unicode MS"/>
                    <w:color w:val="040C28"/>
                    <w:sz w:val="20"/>
                    <w:szCs w:val="20"/>
                  </w:rPr>
                  <w:t>≤ 2,75</w:t>
                </w:r>
              </w:sdtContent>
            </w:sdt>
            <w:r>
              <w:rPr>
                <w:rFonts w:eastAsia="Arial" w:cs="Arial" w:ascii="Arial" w:hAnsi="Arial"/>
                <w:sz w:val="21"/>
                <w:szCs w:val="21"/>
              </w:rPr>
              <w:t>(62.51%- 75.01%)</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40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3.4</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 xml:space="preserve">0.75 &lt; JCR </w:t>
            </w:r>
            <w:sdt>
              <w:sdtPr>
                <w:tag w:val="goog_rdk_2"/>
                <w:id w:val="-1988180477"/>
              </w:sdtPr>
              <w:sdtContent>
                <w:r>
                  <w:rPr>
                    <w:rFonts w:eastAsia="Arial" w:cs="Arial" w:ascii="Arial" w:hAnsi="Arial"/>
                    <w:sz w:val="21"/>
                    <w:szCs w:val="21"/>
                  </w:rPr>
                </w:r>
                <w:r>
                  <w:rPr>
                    <w:rFonts w:eastAsia="Arial Unicode MS" w:cs="Arial Unicode MS" w:ascii="Arial Unicode MS" w:hAnsi="Arial Unicode MS"/>
                    <w:color w:val="040C28"/>
                    <w:sz w:val="20"/>
                    <w:szCs w:val="20"/>
                  </w:rPr>
                  <w:t xml:space="preserve">≤ 1,75 </w:t>
                </w:r>
              </w:sdtContent>
            </w:sdt>
            <w:r>
              <w:rPr>
                <w:rFonts w:eastAsia="Arial" w:cs="Arial" w:ascii="Arial" w:hAnsi="Arial"/>
                <w:sz w:val="21"/>
                <w:szCs w:val="21"/>
              </w:rPr>
              <w:t>(50.01% - 62.51%)</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35</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3.5</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 xml:space="preserve">0.55 &lt; JCR </w:t>
            </w:r>
            <w:sdt>
              <w:sdtPr>
                <w:tag w:val="goog_rdk_3"/>
                <w:id w:val="-480742906"/>
              </w:sdtPr>
              <w:sdtContent>
                <w:r>
                  <w:rPr>
                    <w:rFonts w:eastAsia="Arial" w:cs="Arial" w:ascii="Arial" w:hAnsi="Arial"/>
                    <w:sz w:val="21"/>
                    <w:szCs w:val="21"/>
                  </w:rPr>
                </w:r>
                <w:r>
                  <w:rPr>
                    <w:rFonts w:eastAsia="Arial Unicode MS" w:cs="Arial Unicode MS" w:ascii="Arial Unicode MS" w:hAnsi="Arial Unicode MS"/>
                    <w:color w:val="040C28"/>
                    <w:sz w:val="20"/>
                    <w:szCs w:val="20"/>
                  </w:rPr>
                  <w:t xml:space="preserve">≤ 0,75 </w:t>
                </w:r>
              </w:sdtContent>
            </w:sdt>
            <w:r>
              <w:rPr>
                <w:rFonts w:eastAsia="Arial" w:cs="Arial" w:ascii="Arial" w:hAnsi="Arial"/>
                <w:sz w:val="21"/>
                <w:szCs w:val="21"/>
              </w:rPr>
              <w:t>(37.51% - 50.01%)</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30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3.6</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 xml:space="preserve">0.35 &lt; JCR </w:t>
            </w:r>
            <w:sdt>
              <w:sdtPr>
                <w:tag w:val="goog_rdk_4"/>
                <w:id w:val="-385333187"/>
              </w:sdtPr>
              <w:sdtContent>
                <w:r>
                  <w:rPr>
                    <w:rFonts w:eastAsia="Arial" w:cs="Arial" w:ascii="Arial" w:hAnsi="Arial"/>
                    <w:sz w:val="21"/>
                    <w:szCs w:val="21"/>
                  </w:rPr>
                </w:r>
                <w:r>
                  <w:rPr>
                    <w:rFonts w:eastAsia="Arial Unicode MS" w:cs="Arial Unicode MS" w:ascii="Arial Unicode MS" w:hAnsi="Arial Unicode MS"/>
                    <w:color w:val="040C28"/>
                    <w:sz w:val="20"/>
                    <w:szCs w:val="20"/>
                  </w:rPr>
                  <w:t xml:space="preserve">≤ 0,55 </w:t>
                </w:r>
              </w:sdtContent>
            </w:sdt>
            <w:r>
              <w:rPr>
                <w:rFonts w:eastAsia="Arial" w:cs="Arial" w:ascii="Arial" w:hAnsi="Arial"/>
                <w:sz w:val="21"/>
                <w:szCs w:val="21"/>
              </w:rPr>
              <w:t>(25.01% - 37.51%)</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25</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3.7</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 xml:space="preserve">0.15 &lt; JCR </w:t>
            </w:r>
            <w:sdt>
              <w:sdtPr>
                <w:tag w:val="goog_rdk_5"/>
                <w:id w:val="1235724600"/>
              </w:sdtPr>
              <w:sdtContent>
                <w:r>
                  <w:rPr>
                    <w:rFonts w:eastAsia="Arial" w:cs="Arial" w:ascii="Arial" w:hAnsi="Arial"/>
                    <w:sz w:val="21"/>
                    <w:szCs w:val="21"/>
                  </w:rPr>
                </w:r>
                <w:r>
                  <w:rPr>
                    <w:rFonts w:eastAsia="Arial Unicode MS" w:cs="Arial Unicode MS" w:ascii="Arial Unicode MS" w:hAnsi="Arial Unicode MS"/>
                    <w:color w:val="040C28"/>
                    <w:sz w:val="20"/>
                    <w:szCs w:val="20"/>
                  </w:rPr>
                  <w:t xml:space="preserve">≤ 0,35 </w:t>
                </w:r>
              </w:sdtContent>
            </w:sdt>
            <w:r>
              <w:rPr>
                <w:rFonts w:eastAsia="Arial" w:cs="Arial" w:ascii="Arial" w:hAnsi="Arial"/>
                <w:sz w:val="21"/>
                <w:szCs w:val="21"/>
              </w:rPr>
              <w:t>(12.51% - 25.01%)</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20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3.8</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 xml:space="preserve">0.01 &lt; JCR </w:t>
            </w:r>
            <w:sdt>
              <w:sdtPr>
                <w:tag w:val="goog_rdk_6"/>
                <w:id w:val="-1501185107"/>
              </w:sdtPr>
              <w:sdtContent>
                <w:r>
                  <w:rPr>
                    <w:rFonts w:eastAsia="Arial" w:cs="Arial" w:ascii="Arial" w:hAnsi="Arial"/>
                    <w:sz w:val="21"/>
                    <w:szCs w:val="21"/>
                  </w:rPr>
                </w:r>
                <w:r>
                  <w:rPr>
                    <w:rFonts w:eastAsia="Arial Unicode MS" w:cs="Arial Unicode MS" w:ascii="Arial Unicode MS" w:hAnsi="Arial Unicode MS"/>
                    <w:color w:val="040C28"/>
                    <w:sz w:val="20"/>
                    <w:szCs w:val="20"/>
                  </w:rPr>
                  <w:t xml:space="preserve">≤ 0,15 </w:t>
                </w:r>
              </w:sdtContent>
            </w:sdt>
            <w:r>
              <w:rPr>
                <w:rFonts w:eastAsia="Arial" w:cs="Arial" w:ascii="Arial" w:hAnsi="Arial"/>
                <w:sz w:val="21"/>
                <w:szCs w:val="21"/>
              </w:rPr>
              <w:t>(0.01% - 12.51%)</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15</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4.</w:t>
            </w:r>
          </w:p>
        </w:tc>
        <w:tc>
          <w:tcPr>
            <w:tcW w:w="8564" w:type="dxa"/>
            <w:gridSpan w:val="7"/>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b/>
                <w:bCs/>
                <w:color w:val="000000"/>
                <w:position w:val="0"/>
                <w:sz w:val="21"/>
                <w:sz w:val="21"/>
                <w:szCs w:val="21"/>
                <w:vertAlign w:val="baseline"/>
              </w:rPr>
              <w:t>Abstracts published in Proceedings of Scientific Events</w:t>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4.1</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International</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Summary</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2.5</w:t>
            </w:r>
          </w:p>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(limited to 25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4.2</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Nationals</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Summary</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1.5</w:t>
            </w:r>
          </w:p>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(limited to 15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4.3</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Regional / local</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Summary</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1.0</w:t>
            </w:r>
          </w:p>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(limited to 10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5.</w:t>
            </w:r>
          </w:p>
        </w:tc>
        <w:tc>
          <w:tcPr>
            <w:tcW w:w="8564" w:type="dxa"/>
            <w:gridSpan w:val="7"/>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Participation in scientific events</w:t>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5.1</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Participation in scientific events. (Detail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Participation</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Event</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1</w:t>
            </w:r>
          </w:p>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(limited to 10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6.</w:t>
            </w:r>
          </w:p>
        </w:tc>
        <w:tc>
          <w:tcPr>
            <w:tcW w:w="8564" w:type="dxa"/>
            <w:gridSpan w:val="7"/>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Books or book chapters</w:t>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6.1</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Book chapters</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Chapter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10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6.2</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Book authorship</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Book</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20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7.</w:t>
            </w:r>
          </w:p>
        </w:tc>
        <w:tc>
          <w:tcPr>
            <w:tcW w:w="8564" w:type="dxa"/>
            <w:gridSpan w:val="7"/>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Products and Patents</w:t>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7.1</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Technological Innovation (Patents, software, product and process development)</w:t>
            </w:r>
          </w:p>
        </w:tc>
        <w:tc>
          <w:tcPr>
            <w:tcW w:w="107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7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Patent</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10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trHeight w:val="289" w:hRule="atLeast"/>
          <w:cantSplit w:val="true"/>
        </w:trPr>
        <w:tc>
          <w:tcPr>
            <w:tcW w:w="8005" w:type="dxa"/>
            <w:gridSpan w:val="7"/>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Total Score</w:t>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b/>
                <w:bCs/>
                <w:color w:val="000000"/>
                <w:position w:val="0"/>
                <w:sz w:val="21"/>
                <w:sz w:val="21"/>
                <w:szCs w:val="21"/>
                <w:vertAlign w:val="baseline"/>
              </w:rPr>
            </w:pPr>
            <w:r>
              <w:rPr>
                <w:rFonts w:eastAsia="Arial" w:cs="Arial" w:ascii="Arial" w:hAnsi="Arial"/>
                <w:b/>
                <w:bCs/>
                <w:color w:val="000000"/>
                <w:position w:val="0"/>
                <w:sz w:val="21"/>
                <w:sz w:val="21"/>
                <w:szCs w:val="21"/>
                <w:vertAlign w:val="baseline"/>
              </w:rPr>
            </w:r>
          </w:p>
        </w:tc>
      </w:tr>
    </w:tbl>
    <w:p>
      <w:pPr>
        <w:pStyle w:val="normal1"/>
        <w:spacing w:lineRule="auto" w:line="240" w:before="0" w:after="0"/>
        <w:rPr>
          <w:rFonts w:ascii="Arial" w:hAnsi="Arial" w:eastAsia="Arial" w:cs="Arial"/>
          <w:position w:val="0"/>
          <w:sz w:val="24"/>
          <w:sz w:val="24"/>
          <w:szCs w:val="24"/>
          <w:vertAlign w:val="baseline"/>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113" w:top="1418" w:footer="113"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1"/>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alibri">
    <w:charset w:val="01"/>
    <w:family w:val="roman"/>
    <w:pitch w:val="variable"/>
    <w:embedBold r:id="rId14" w:fontKey="{0E014A78-CABC-4EF0-12AC-5CD89AEFDE0E}"/>
    <w:embedItalic r:id="rId15" w:fontKey="{0F014A78-CABC-4EF0-12AC-5CD89AEFDE0F}"/>
    <w:embedBoldItalic r:id="rId16" w:fontKey="{10014A78-CABC-4EF0-12AC-5CD89AEFDE10}"/>
  </w:font>
  <w:font w:name="Calibri">
    <w:charset w:val="01"/>
    <w:family w:val="swiss"/>
    <w:pitch w:val="variable"/>
    <w:embedBold r:id="rId17" w:fontKey="{11014A78-CABC-4EF0-12AC-5CD89AEFDE11}"/>
    <w:embedItalic r:id="rId18" w:fontKey="{12014A78-CABC-4EF0-12AC-5CD89AEFDE12}"/>
    <w:embedBoldItalic r:id="rId19" w:fontKey="{13014A78-CABC-4EF0-12AC-5CD89AEFDE13}"/>
  </w:font>
  <w:font w:name="Arial">
    <w:charset w:val="01"/>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ans">
    <w:altName w:val="Arial"/>
    <w:charset w:val="01"/>
    <w:family w:val="roman"/>
    <w:pitch w:val="variable"/>
    <w:embedRegular r:id="rId20" w:fontKey="{14014A78-CABC-4EF0-12AC-5CD89AEFDE14}"/>
    <w:embedBold r:id="rId21" w:fontKey="{15014A78-CABC-4EF0-12AC-5CD89AEFDE15}"/>
    <w:embedItalic r:id="rId22" w:fontKey="{16014A78-CABC-4EF0-12AC-5CD89AEFDE16}"/>
    <w:embedBoldItalic r:id="rId23" w:fontKey="{17014A78-CABC-4EF0-12AC-5CD89AEFDE17}"/>
  </w:font>
  <w:font w:name="Georgia">
    <w:charset w:val="01"/>
    <w:family w:val="roman"/>
    <w:pitch w:val="variable"/>
    <w:embedRegular r:id="rId24" w:fontKey="{18014A78-CABC-4EF0-12AC-5CD89AEFDE18}"/>
    <w:embedBold r:id="rId25" w:fontKey="{19014A78-CABC-4EF0-12AC-5CD89AEFDE19}"/>
    <w:embedItalic r:id="rId26" w:fontKey="{1A014A78-CABC-4EF0-12AC-5CD89AEFDE1A}"/>
    <w:embedBoldItalic r:id="rId27" w:fontKey="{1B014A78-CABC-4EF0-12AC-5CD89AEFDE1B}"/>
  </w:font>
  <w:font w:name="Arial">
    <w:charset w:val="01"/>
    <w:family w:val="roman"/>
    <w:pitch w:val="variable"/>
  </w:font>
  <w:font w:name="Arial Unicode MS">
    <w:charset w:val="01"/>
    <w:family w:val="roman"/>
    <w:pitch w:val="variable"/>
  </w:font>
  <w:font w:name="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Public Notice No. 018/2026 – PGRN/UEMS – Master's and Doctoral Programs</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Page </w:t>
          </w:r>
          <w:r>
            <w:rPr/>
            <w:fldChar w:fldCharType="begin"/>
          </w:r>
          <w:r>
            <w:rPr/>
            <w:instrText xml:space="preserve"> PAGE </w:instrText>
          </w:r>
          <w:r>
            <w:rPr/>
            <w:fldChar w:fldCharType="separate"/>
          </w:r>
          <w:r>
            <w:rPr/>
            <w:t>0</w:t>
          </w:r>
          <w:r>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of </w:t>
          </w:r>
          <w:r>
            <w:rPr/>
            <w:fldChar w:fldCharType="begin"/>
          </w:r>
          <w:r>
            <w:rPr/>
            <w:instrText xml:space="preserve"> NUMPAGES </w:instrText>
          </w:r>
          <w:r>
            <w:rPr/>
            <w:fldChar w:fldCharType="separate"/>
          </w:r>
          <w:r>
            <w:rPr/>
            <w:t>2</w:t>
          </w:r>
          <w:r>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University City of Dourados - P.O. Box 351 - Postal Code 79804-970 - Dourados - MS</w:t>
    </w:r>
  </w:p>
  <w:p>
    <w:pPr>
      <w:pStyle w:val="normal1"/>
      <w:keepNext w:val="false"/>
      <w:keepLines w:val="false"/>
      <w:widowControl w:val="false"/>
      <w:shd w:val="clear" w:fill="auto"/>
      <w:spacing w:lineRule="auto" w:line="240"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e-mail: </w:t>
    </w:r>
    <w:hyperlink r:id="rId1">
      <w:r>
        <w:rPr>
          <w:rStyle w:val="ListLabel2"/>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 xml:space="preserve">pgrn@uems.br </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 phone: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https://www.uems.br/ppg/pgrn</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Public Notice No. 018/2026 – PGRN/UEMS – Master's and Doctoral Call for Applications</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Page </w:t>
          </w:r>
          <w:r>
            <w:rPr>
              <w:rFonts w:ascii="Arial" w:hAnsi="Arial"/>
              <w:sz w:val="18"/>
              <w:szCs w:val="18"/>
            </w:rPr>
            <w:fldChar w:fldCharType="begin"/>
          </w:r>
          <w:r>
            <w:rPr>
              <w:sz w:val="18"/>
              <w:szCs w:val="18"/>
              <w:rFonts w:ascii="Arial" w:hAnsi="Arial"/>
            </w:rPr>
            <w:instrText xml:space="preserve"> PAGE </w:instrText>
          </w:r>
          <w:r>
            <w:rPr>
              <w:sz w:val="18"/>
              <w:szCs w:val="18"/>
              <w:rFonts w:ascii="Arial" w:hAnsi="Arial"/>
            </w:rPr>
            <w:fldChar w:fldCharType="separate"/>
          </w:r>
          <w:r>
            <w:rPr>
              <w:sz w:val="18"/>
              <w:szCs w:val="18"/>
              <w:rFonts w:ascii="Arial" w:hAnsi="Arial"/>
            </w:rPr>
            <w:t>1</w:t>
          </w:r>
          <w:r>
            <w:rPr>
              <w:sz w:val="18"/>
              <w:szCs w:val="18"/>
              <w:rFonts w:ascii="Arial" w:hAnsi="Arial"/>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of </w:t>
          </w:r>
          <w:r>
            <w:rPr>
              <w:rFonts w:ascii="Arial" w:hAnsi="Arial"/>
              <w:sz w:val="18"/>
              <w:szCs w:val="18"/>
            </w:rPr>
            <w:fldChar w:fldCharType="begin"/>
          </w:r>
          <w:r>
            <w:rPr>
              <w:sz w:val="18"/>
              <w:szCs w:val="18"/>
              <w:rFonts w:ascii="Arial" w:hAnsi="Arial"/>
            </w:rPr>
            <w:instrText xml:space="preserve"> NUMPAGES </w:instrText>
          </w:r>
          <w:r>
            <w:rPr>
              <w:sz w:val="18"/>
              <w:szCs w:val="18"/>
              <w:rFonts w:ascii="Arial" w:hAnsi="Arial"/>
            </w:rPr>
            <w:fldChar w:fldCharType="separate"/>
          </w:r>
          <w:r>
            <w:rPr>
              <w:sz w:val="18"/>
              <w:szCs w:val="18"/>
              <w:rFonts w:ascii="Arial" w:hAnsi="Arial"/>
            </w:rPr>
            <w:t>2</w:t>
          </w:r>
          <w:r>
            <w:rPr>
              <w:sz w:val="18"/>
              <w:szCs w:val="18"/>
              <w:rFonts w:ascii="Arial" w:hAnsi="Arial"/>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University City of Dourados - P.O. Box 351 - Postal Code 79804-970 - Dourados - MS</w:t>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e-mail: </w:t>
    </w:r>
    <w:hyperlink r:id="rId1">
      <w:r>
        <w:rPr>
          <w:rStyle w:val="ListLabel2"/>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pgrn@uems.br</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 - phone: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https://www.uems.br/ppgen/pgrn</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Public Notice No. 018/2026 – PGRN/UEMS – Master's and Doctoral Call for Applications</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Page </w:t>
          </w:r>
          <w:r>
            <w:rPr>
              <w:rFonts w:ascii="Arial" w:hAnsi="Arial"/>
              <w:sz w:val="18"/>
              <w:szCs w:val="18"/>
            </w:rPr>
            <w:fldChar w:fldCharType="begin"/>
          </w:r>
          <w:r>
            <w:rPr>
              <w:sz w:val="18"/>
              <w:szCs w:val="18"/>
              <w:rFonts w:ascii="Arial" w:hAnsi="Arial"/>
            </w:rPr>
            <w:instrText xml:space="preserve"> PAGE </w:instrText>
          </w:r>
          <w:r>
            <w:rPr>
              <w:sz w:val="18"/>
              <w:szCs w:val="18"/>
              <w:rFonts w:ascii="Arial" w:hAnsi="Arial"/>
            </w:rPr>
            <w:fldChar w:fldCharType="separate"/>
          </w:r>
          <w:r>
            <w:rPr>
              <w:sz w:val="18"/>
              <w:szCs w:val="18"/>
              <w:rFonts w:ascii="Arial" w:hAnsi="Arial"/>
            </w:rPr>
            <w:t>1</w:t>
          </w:r>
          <w:r>
            <w:rPr>
              <w:sz w:val="18"/>
              <w:szCs w:val="18"/>
              <w:rFonts w:ascii="Arial" w:hAnsi="Arial"/>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of </w:t>
          </w:r>
          <w:r>
            <w:rPr>
              <w:rFonts w:ascii="Arial" w:hAnsi="Arial"/>
              <w:sz w:val="18"/>
              <w:szCs w:val="18"/>
            </w:rPr>
            <w:fldChar w:fldCharType="begin"/>
          </w:r>
          <w:r>
            <w:rPr>
              <w:sz w:val="18"/>
              <w:szCs w:val="18"/>
              <w:rFonts w:ascii="Arial" w:hAnsi="Arial"/>
            </w:rPr>
            <w:instrText xml:space="preserve"> NUMPAGES </w:instrText>
          </w:r>
          <w:r>
            <w:rPr>
              <w:sz w:val="18"/>
              <w:szCs w:val="18"/>
              <w:rFonts w:ascii="Arial" w:hAnsi="Arial"/>
            </w:rPr>
            <w:fldChar w:fldCharType="separate"/>
          </w:r>
          <w:r>
            <w:rPr>
              <w:sz w:val="18"/>
              <w:szCs w:val="18"/>
              <w:rFonts w:ascii="Arial" w:hAnsi="Arial"/>
            </w:rPr>
            <w:t>2</w:t>
          </w:r>
          <w:r>
            <w:rPr>
              <w:sz w:val="18"/>
              <w:szCs w:val="18"/>
              <w:rFonts w:ascii="Arial" w:hAnsi="Arial"/>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University City of Dourados - P.O. Box 351 - Postal Code 79804-970 - Dourados - MS</w:t>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e-mail: </w:t>
    </w:r>
    <w:hyperlink r:id="rId1">
      <w:r>
        <w:rPr>
          <w:rStyle w:val="ListLabel2"/>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pgrn@uems.br</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 - phone: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https://www.uems.br/ppgen/pgrn</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rHeight w:val="1481" w:hRule="atLeast"/>
      </w:trPr>
      <w:tc>
        <w:tcPr>
          <w:tcW w:w="1198" w:type="dxa"/>
          <w:tcBorders/>
        </w:tcPr>
        <w:p>
          <w:pPr>
            <w:pStyle w:val="normal1"/>
            <w:keepNext w:val="false"/>
            <w:keepLines w:val="false"/>
            <w:widowControl w:val="false"/>
            <w:shd w:val="clear" w:fill="auto"/>
            <w:spacing w:lineRule="auto" w:line="240" w:before="0" w:after="0"/>
            <w:ind w:hanging="0" w:left="0" w:right="0"/>
            <w:jc w:val="center"/>
            <w:rPr/>
          </w:pPr>
          <w:r>
            <w:rPr/>
            <w:drawing>
              <wp:inline distT="0" distB="0" distL="0" distR="0">
                <wp:extent cx="685165" cy="601980"/>
                <wp:effectExtent l="0" t="0" r="0" b="0"/>
                <wp:docPr id="1" name="image1.jpg Copia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Copia 2" descr=""/>
                        <pic:cNvPicPr>
                          <a:picLocks noChangeAspect="1" noChangeArrowheads="1"/>
                        </pic:cNvPicPr>
                      </pic:nvPicPr>
                      <pic:blipFill>
                        <a:blip r:embed="rId1"/>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pPr>
          <w:r>
            <w:rPr>
              <w:rFonts w:eastAsia="Arial" w:cs="Arial" w:ascii="Arial" w:hAnsi="Arial"/>
              <w:b w:val="false"/>
              <w:bCs w:val="false"/>
              <w:sz w:val="21"/>
              <w:szCs w:val="21"/>
            </w:rPr>
            <w:t>Government of the State of Mato Grosso do Sul</w:t>
          </w:r>
        </w:p>
        <w:p>
          <w:pPr>
            <w:pStyle w:val="normal1"/>
            <w:widowControl w:val="false"/>
            <w:jc w:val="center"/>
            <w:rPr/>
          </w:pPr>
          <w:r>
            <w:rPr>
              <w:rFonts w:eastAsia="Arial" w:cs="Arial" w:ascii="Arial" w:hAnsi="Arial"/>
              <w:b w:val="false"/>
              <w:bCs w:val="false"/>
              <w:sz w:val="21"/>
              <w:szCs w:val="21"/>
            </w:rPr>
            <w:t>Mato Grosso do Sul State University Foundation</w:t>
          </w:r>
        </w:p>
        <w:p>
          <w:pPr>
            <w:pStyle w:val="normal1"/>
            <w:widowControl w:val="false"/>
            <w:jc w:val="center"/>
            <w:rPr/>
          </w:pPr>
          <w:r>
            <w:rPr>
              <w:rFonts w:eastAsia="Arial" w:cs="Arial" w:ascii="Arial" w:hAnsi="Arial"/>
              <w:b w:val="false"/>
              <w:bCs w:val="false"/>
              <w:sz w:val="21"/>
              <w:szCs w:val="21"/>
            </w:rPr>
            <w:t>PROPPI - Vice-Rectorate for Research, Postgraduate Studies and Innovation</w:t>
          </w:r>
        </w:p>
        <w:p>
          <w:pPr>
            <w:pStyle w:val="normal1"/>
            <w:widowControl w:val="false"/>
            <w:tabs>
              <w:tab w:val="clear" w:pos="720"/>
              <w:tab w:val="left" w:pos="1053" w:leader="none"/>
            </w:tabs>
            <w:jc w:val="center"/>
            <w:rPr/>
          </w:pPr>
          <w:r>
            <w:rPr>
              <w:rFonts w:eastAsia="Arial" w:cs="Arial" w:ascii="Arial" w:hAnsi="Arial"/>
              <w:b w:val="false"/>
              <w:bCs w:val="false"/>
              <w:color w:val="222222"/>
              <w:sz w:val="21"/>
              <w:szCs w:val="21"/>
            </w:rPr>
            <w:t xml:space="preserve">Postgraduate Program in Natural </w:t>
          </w:r>
          <w:r>
            <w:rPr>
              <w:rFonts w:eastAsia="Arial" w:cs="Arial" w:ascii="Arial" w:hAnsi="Arial"/>
              <w:color w:val="222222"/>
              <w:sz w:val="21"/>
              <w:szCs w:val="21"/>
            </w:rPr>
            <w:t>Resources</w:t>
          </w:r>
        </w:p>
      </w:tc>
      <w:tc>
        <w:tcPr>
          <w:tcW w:w="1471" w:type="dxa"/>
          <w:tcBorders/>
        </w:tcPr>
        <w:p>
          <w:pPr>
            <w:pStyle w:val="normal1"/>
            <w:widowControl w:val="false"/>
            <w:ind w:hanging="0" w:right="57"/>
            <w:jc w:val="right"/>
            <w:rPr/>
          </w:pPr>
          <w:r>
            <w:rPr/>
            <w:drawing>
              <wp:inline distT="0" distB="0" distL="0" distR="0">
                <wp:extent cx="521970" cy="601345"/>
                <wp:effectExtent l="0" t="0" r="0" b="0"/>
                <wp:docPr id="2" name="image2.png Copia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Copia 2"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keepNext w:val="false"/>
      <w:keepLines w:val="false"/>
      <w:widowControl w:val="false"/>
      <w:shd w:val="clear" w:fill="auto"/>
      <w:spacing w:lineRule="auto" w:line="240"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c>
        <w:tcPr>
          <w:tcW w:w="1198" w:type="dxa"/>
          <w:tcBorders/>
        </w:tcPr>
        <w:p>
          <w:pPr>
            <w:pStyle w:val="normal1"/>
            <w:keepNext w:val="false"/>
            <w:keepLines w:val="false"/>
            <w:widowControl w:val="false"/>
            <w:shd w:val="clear" w:fill="auto"/>
            <w:spacing w:lineRule="auto" w:line="240" w:before="0" w:after="0"/>
            <w:ind w:hanging="0" w:left="0" w:right="0"/>
            <w:jc w:val="center"/>
            <w:rPr/>
          </w:pPr>
          <w:r>
            <w:rPr/>
            <w:drawing>
              <wp:inline distT="0" distB="0" distL="0" distR="0">
                <wp:extent cx="685165" cy="601980"/>
                <wp:effectExtent l="0" t="0" r="0" b="0"/>
                <wp:docPr id="3"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g" descr=""/>
                        <pic:cNvPicPr>
                          <a:picLocks noChangeAspect="1" noChangeArrowheads="1"/>
                        </pic:cNvPicPr>
                      </pic:nvPicPr>
                      <pic:blipFill>
                        <a:blip r:embed="rId1"/>
                        <a:srcRect l="-394" t="-449" r="-394" b="-449"/>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pPr>
          <w:r>
            <w:rPr>
              <w:rFonts w:eastAsia="Arial" w:cs="Arial" w:ascii="Arial" w:hAnsi="Arial"/>
              <w:b w:val="false"/>
              <w:bCs w:val="false"/>
              <w:sz w:val="21"/>
              <w:szCs w:val="21"/>
            </w:rPr>
            <w:t>State Government of Mato Grosso do Sul</w:t>
          </w:r>
        </w:p>
        <w:p>
          <w:pPr>
            <w:pStyle w:val="normal1"/>
            <w:widowControl w:val="false"/>
            <w:jc w:val="center"/>
            <w:rPr/>
          </w:pPr>
          <w:r>
            <w:rPr>
              <w:rFonts w:eastAsia="Arial" w:cs="Arial" w:ascii="Arial" w:hAnsi="Arial"/>
              <w:b w:val="false"/>
              <w:bCs w:val="false"/>
              <w:sz w:val="21"/>
              <w:szCs w:val="21"/>
            </w:rPr>
            <w:t>State University Mato Grosso do Sul Foundation</w:t>
          </w:r>
        </w:p>
        <w:p>
          <w:pPr>
            <w:pStyle w:val="normal1"/>
            <w:widowControl w:val="false"/>
            <w:jc w:val="center"/>
            <w:rPr/>
          </w:pPr>
          <w:r>
            <w:rPr>
              <w:rFonts w:eastAsia="Arial" w:cs="Arial" w:ascii="Arial" w:hAnsi="Arial"/>
              <w:b w:val="false"/>
              <w:bCs w:val="false"/>
              <w:sz w:val="21"/>
              <w:szCs w:val="21"/>
            </w:rPr>
            <w:t>PROPPI – Office of the Dean for Research, Postgraduate Studies and Innovation</w:t>
          </w:r>
        </w:p>
        <w:p>
          <w:pPr>
            <w:pStyle w:val="normal1"/>
            <w:widowControl w:val="false"/>
            <w:tabs>
              <w:tab w:val="clear" w:pos="720"/>
              <w:tab w:val="left" w:pos="1053" w:leader="none"/>
            </w:tabs>
            <w:jc w:val="center"/>
            <w:rPr/>
          </w:pPr>
          <w:r>
            <w:rPr>
              <w:rFonts w:eastAsia="Arial" w:cs="Arial" w:ascii="Arial" w:hAnsi="Arial"/>
              <w:b w:val="false"/>
              <w:bCs w:val="false"/>
              <w:color w:val="222222"/>
              <w:sz w:val="21"/>
              <w:szCs w:val="21"/>
            </w:rPr>
            <w:t xml:space="preserve">Postgraduate Program in Natural </w:t>
          </w:r>
          <w:r>
            <w:rPr>
              <w:rFonts w:eastAsia="Arial" w:cs="Arial" w:ascii="Arial" w:hAnsi="Arial"/>
              <w:color w:val="222222"/>
              <w:sz w:val="21"/>
              <w:szCs w:val="21"/>
            </w:rPr>
            <w:t>Resources</w:t>
          </w:r>
        </w:p>
      </w:tc>
      <w:tc>
        <w:tcPr>
          <w:tcW w:w="1471" w:type="dxa"/>
          <w:tcBorders/>
        </w:tcPr>
        <w:p>
          <w:pPr>
            <w:pStyle w:val="normal1"/>
            <w:widowControl w:val="false"/>
            <w:ind w:hanging="0" w:right="57"/>
            <w:jc w:val="right"/>
            <w:rPr/>
          </w:pPr>
          <w:r>
            <w:rPr/>
            <w:drawing>
              <wp:inline distT="0" distB="0" distL="0" distR="0">
                <wp:extent cx="521970" cy="601345"/>
                <wp:effectExtent l="0" t="0" r="0" b="0"/>
                <wp:docPr id="4"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rPr>
        <w:rFonts w:ascii="Arial" w:hAnsi="Arial" w:eastAsia="Arial" w:cs="Arial"/>
        <w:position w:val="0"/>
        <w:sz w:val="10"/>
        <w:sz w:val="10"/>
        <w:szCs w:val="10"/>
        <w:vertAlign w:val="baseline"/>
      </w:rPr>
    </w:pPr>
    <w:r>
      <w:rPr>
        <w:rFonts w:eastAsia="Arial" w:cs="Arial" w:ascii="Arial" w:hAnsi="Arial"/>
        <w:position w:val="0"/>
        <w:sz w:val="10"/>
        <w:sz w:val="10"/>
        <w:szCs w:val="10"/>
        <w:vertAlign w:val="baseline"/>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c>
        <w:tcPr>
          <w:tcW w:w="1198" w:type="dxa"/>
          <w:tcBorders/>
        </w:tcPr>
        <w:p>
          <w:pPr>
            <w:pStyle w:val="normal1"/>
            <w:keepNext w:val="false"/>
            <w:keepLines w:val="false"/>
            <w:widowControl w:val="false"/>
            <w:shd w:val="clear" w:fill="auto"/>
            <w:spacing w:lineRule="auto" w:line="240" w:before="0" w:after="0"/>
            <w:ind w:hanging="0" w:left="0" w:right="0"/>
            <w:jc w:val="center"/>
            <w:rPr/>
          </w:pPr>
          <w:r>
            <w:rPr/>
            <w:drawing>
              <wp:inline distT="0" distB="0" distL="0" distR="0">
                <wp:extent cx="685165" cy="601980"/>
                <wp:effectExtent l="0" t="0" r="0" b="0"/>
                <wp:docPr id="5"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g" descr=""/>
                        <pic:cNvPicPr>
                          <a:picLocks noChangeAspect="1" noChangeArrowheads="1"/>
                        </pic:cNvPicPr>
                      </pic:nvPicPr>
                      <pic:blipFill>
                        <a:blip r:embed="rId1"/>
                        <a:srcRect l="-394" t="-449" r="-394" b="-449"/>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pPr>
          <w:r>
            <w:rPr>
              <w:rFonts w:eastAsia="Arial" w:cs="Arial" w:ascii="Arial" w:hAnsi="Arial"/>
              <w:b w:val="false"/>
              <w:bCs w:val="false"/>
              <w:sz w:val="21"/>
              <w:szCs w:val="21"/>
            </w:rPr>
            <w:t>State Government of Mato Grosso do Sul</w:t>
          </w:r>
        </w:p>
        <w:p>
          <w:pPr>
            <w:pStyle w:val="normal1"/>
            <w:widowControl w:val="false"/>
            <w:jc w:val="center"/>
            <w:rPr/>
          </w:pPr>
          <w:r>
            <w:rPr>
              <w:rFonts w:eastAsia="Arial" w:cs="Arial" w:ascii="Arial" w:hAnsi="Arial"/>
              <w:b w:val="false"/>
              <w:bCs w:val="false"/>
              <w:sz w:val="21"/>
              <w:szCs w:val="21"/>
            </w:rPr>
            <w:t>State University Mato Grosso do Sul Foundation</w:t>
          </w:r>
        </w:p>
        <w:p>
          <w:pPr>
            <w:pStyle w:val="normal1"/>
            <w:widowControl w:val="false"/>
            <w:jc w:val="center"/>
            <w:rPr/>
          </w:pPr>
          <w:r>
            <w:rPr>
              <w:rFonts w:eastAsia="Arial" w:cs="Arial" w:ascii="Arial" w:hAnsi="Arial"/>
              <w:b w:val="false"/>
              <w:bCs w:val="false"/>
              <w:sz w:val="21"/>
              <w:szCs w:val="21"/>
            </w:rPr>
            <w:t>PROPPI – Office of the Dean for Research, Postgraduate Studies and Innovation</w:t>
          </w:r>
        </w:p>
        <w:p>
          <w:pPr>
            <w:pStyle w:val="normal1"/>
            <w:widowControl w:val="false"/>
            <w:tabs>
              <w:tab w:val="clear" w:pos="720"/>
              <w:tab w:val="left" w:pos="1053" w:leader="none"/>
            </w:tabs>
            <w:jc w:val="center"/>
            <w:rPr/>
          </w:pPr>
          <w:r>
            <w:rPr>
              <w:rFonts w:eastAsia="Arial" w:cs="Arial" w:ascii="Arial" w:hAnsi="Arial"/>
              <w:b w:val="false"/>
              <w:bCs w:val="false"/>
              <w:color w:val="222222"/>
              <w:sz w:val="21"/>
              <w:szCs w:val="21"/>
            </w:rPr>
            <w:t xml:space="preserve">Postgraduate Program in Natural </w:t>
          </w:r>
          <w:r>
            <w:rPr>
              <w:rFonts w:eastAsia="Arial" w:cs="Arial" w:ascii="Arial" w:hAnsi="Arial"/>
              <w:color w:val="222222"/>
              <w:sz w:val="21"/>
              <w:szCs w:val="21"/>
            </w:rPr>
            <w:t>Resources</w:t>
          </w:r>
        </w:p>
      </w:tc>
      <w:tc>
        <w:tcPr>
          <w:tcW w:w="1471" w:type="dxa"/>
          <w:tcBorders/>
        </w:tcPr>
        <w:p>
          <w:pPr>
            <w:pStyle w:val="normal1"/>
            <w:widowControl w:val="false"/>
            <w:ind w:hanging="0" w:right="57"/>
            <w:jc w:val="right"/>
            <w:rPr/>
          </w:pPr>
          <w:r>
            <w:rPr/>
            <w:drawing>
              <wp:inline distT="0" distB="0" distL="0" distR="0">
                <wp:extent cx="521970" cy="601345"/>
                <wp:effectExtent l="0" t="0" r="0" b="0"/>
                <wp:docPr id="6"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rPr>
        <w:rFonts w:ascii="Arial" w:hAnsi="Arial" w:eastAsia="Arial" w:cs="Arial"/>
        <w:position w:val="0"/>
        <w:sz w:val="10"/>
        <w:sz w:val="10"/>
        <w:szCs w:val="10"/>
        <w:vertAlign w:val="baseline"/>
      </w:rPr>
    </w:pPr>
    <w:r>
      <w:rPr>
        <w:rFonts w:eastAsia="Arial" w:cs="Arial" w:ascii="Arial" w:hAnsi="Arial"/>
        <w:position w:val="0"/>
        <w:sz w:val="10"/>
        <w:sz w:val="10"/>
        <w:szCs w:val="10"/>
        <w:vertAlign w:val="baseline"/>
      </w:rPr>
    </w:r>
  </w:p>
</w:hdr>
</file>

<file path=word/settings.xml><?xml version="1.0" encoding="utf-8"?>
<w:settings xmlns:w="http://schemas.openxmlformats.org/wordprocessingml/2006/main">
  <w:zoom w:percent="95"/>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Calibri" w:hAnsi="Calibri" w:eastAsia="Calibri" w:cs="Calibri"/>
      <w:color w:val="auto"/>
      <w:kern w:val="0"/>
      <w:sz w:val="24"/>
      <w:szCs w:val="24"/>
      <w:lang w:val="en-US" w:eastAsia="zh-CN" w:bidi="hi-IN"/>
    </w:rPr>
  </w:style>
  <w:style w:type="paragraph" w:styleId="Heading1">
    <w:name w:val="Heading 1"/>
    <w:basedOn w:val="normal1"/>
    <w:next w:val="normal1"/>
    <w:qFormat/>
    <w:pPr>
      <w:keepNext w:val="true"/>
      <w:keepLines/>
      <w:pageBreakBefore w:val="false"/>
      <w:widowControl/>
      <w:shd w:val="clear" w:fill="auto"/>
      <w:spacing w:lineRule="auto" w:line="240" w:before="480" w:after="120"/>
      <w:ind w:hanging="0" w:left="0" w:right="0"/>
      <w:jc w:val="left"/>
    </w:pPr>
    <w:rPr>
      <w:rFonts w:ascii="Calibri" w:hAnsi="Calibri" w:eastAsia="Calibri" w:cs="Calibri"/>
      <w:b/>
      <w:bCs/>
      <w:i w:val="false"/>
      <w:iCs w:val="false"/>
      <w:caps w:val="false"/>
      <w:smallCaps w:val="false"/>
      <w:strike w:val="false"/>
      <w:dstrike w:val="false"/>
      <w:color w:val="000000"/>
      <w:position w:val="0"/>
      <w:sz w:val="48"/>
      <w:sz w:val="48"/>
      <w:szCs w:val="48"/>
      <w:u w:val="none"/>
      <w:shd w:fill="auto" w:val="clear"/>
      <w:vertAlign w:val="baseline"/>
    </w:rPr>
  </w:style>
  <w:style w:type="paragraph" w:styleId="Heading2">
    <w:name w:val="Heading 2"/>
    <w:basedOn w:val="normal1"/>
    <w:next w:val="normal1"/>
    <w:qFormat/>
    <w:pPr>
      <w:keepNext w:val="true"/>
      <w:keepLines/>
      <w:pageBreakBefore w:val="false"/>
      <w:widowControl/>
      <w:shd w:val="clear" w:fill="auto"/>
      <w:spacing w:lineRule="auto" w:line="240" w:before="360" w:after="80"/>
      <w:ind w:hanging="0" w:left="0" w:right="0"/>
      <w:jc w:val="left"/>
    </w:pPr>
    <w:rPr>
      <w:rFonts w:ascii="Calibri" w:hAnsi="Calibri" w:eastAsia="Calibri" w:cs="Calibri"/>
      <w:b/>
      <w:bCs/>
      <w:i w:val="false"/>
      <w:iCs w:val="false"/>
      <w:caps w:val="false"/>
      <w:smallCaps w:val="false"/>
      <w:strike w:val="false"/>
      <w:dstrike w:val="false"/>
      <w:color w:val="000000"/>
      <w:position w:val="0"/>
      <w:sz w:val="36"/>
      <w:sz w:val="36"/>
      <w:szCs w:val="36"/>
      <w:u w:val="none"/>
      <w:shd w:fill="auto" w:val="clear"/>
      <w:vertAlign w:val="baseline"/>
    </w:rPr>
  </w:style>
  <w:style w:type="paragraph" w:styleId="Heading3">
    <w:name w:val="Heading 3"/>
    <w:basedOn w:val="normal1"/>
    <w:next w:val="normal1"/>
    <w:qFormat/>
    <w:pPr>
      <w:keepNext w:val="true"/>
      <w:keepLines w:val="false"/>
      <w:pageBreakBefore w:val="false"/>
      <w:widowControl/>
      <w:shd w:val="clear" w:fill="auto"/>
      <w:spacing w:lineRule="auto" w:line="240" w:before="240" w:after="60"/>
      <w:ind w:hanging="360" w:left="1440" w:right="0"/>
      <w:jc w:val="left"/>
    </w:pPr>
    <w:rPr>
      <w:rFonts w:ascii="Arial" w:hAnsi="Arial" w:eastAsia="Arial" w:cs="Arial"/>
      <w:b/>
      <w:bCs/>
      <w:i w:val="false"/>
      <w:iCs w:val="false"/>
      <w:caps w:val="false"/>
      <w:smallCaps w:val="false"/>
      <w:strike w:val="false"/>
      <w:dstrike w:val="false"/>
      <w:color w:val="000000"/>
      <w:position w:val="0"/>
      <w:sz w:val="26"/>
      <w:sz w:val="26"/>
      <w:szCs w:val="26"/>
      <w:u w:val="none"/>
      <w:shd w:fill="auto" w:val="clear"/>
      <w:vertAlign w:val="baseline"/>
    </w:rPr>
  </w:style>
  <w:style w:type="paragraph" w:styleId="Heading4">
    <w:name w:val="Heading 4"/>
    <w:basedOn w:val="normal1"/>
    <w:next w:val="normal1"/>
    <w:qFormat/>
    <w:pPr>
      <w:keepNext w:val="true"/>
      <w:keepLines/>
      <w:pageBreakBefore w:val="false"/>
      <w:widowControl/>
      <w:shd w:val="clear" w:fill="auto"/>
      <w:spacing w:lineRule="auto" w:line="240" w:before="24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4"/>
      <w:sz w:val="24"/>
      <w:szCs w:val="24"/>
      <w:u w:val="none"/>
      <w:shd w:fill="auto" w:val="clear"/>
      <w:vertAlign w:val="baseline"/>
    </w:rPr>
  </w:style>
  <w:style w:type="paragraph" w:styleId="Heading5">
    <w:name w:val="Heading 5"/>
    <w:basedOn w:val="normal1"/>
    <w:next w:val="normal1"/>
    <w:qFormat/>
    <w:pPr>
      <w:keepNext w:val="true"/>
      <w:keepLines/>
      <w:pageBreakBefore w:val="false"/>
      <w:widowControl/>
      <w:shd w:val="clear" w:fill="auto"/>
      <w:spacing w:lineRule="auto" w:line="240" w:before="22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2"/>
      <w:sz w:val="22"/>
      <w:szCs w:val="22"/>
      <w:u w:val="none"/>
      <w:shd w:fill="auto" w:val="clear"/>
      <w:vertAlign w:val="baseline"/>
    </w:rPr>
  </w:style>
  <w:style w:type="paragraph" w:styleId="Heading6">
    <w:name w:val="Heading 6"/>
    <w:basedOn w:val="normal1"/>
    <w:next w:val="normal1"/>
    <w:qFormat/>
    <w:pPr>
      <w:keepNext w:val="true"/>
      <w:keepLines/>
      <w:pageBreakBefore w:val="false"/>
      <w:widowControl/>
      <w:shd w:val="clear" w:fill="auto"/>
      <w:spacing w:lineRule="auto" w:line="240" w:before="20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0"/>
      <w:sz w:val="20"/>
      <w:szCs w:val="20"/>
      <w:u w:val="none"/>
      <w:shd w:fill="auto" w:val="clear"/>
      <w:vertAlign w:val="baseline"/>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normal1"/>
    <w:qFormat/>
    <w:pPr>
      <w:widowControl w:val="false"/>
      <w:suppressAutoHyphens w:val="true"/>
      <w:bidi w:val="0"/>
      <w:spacing w:before="0" w:after="0"/>
      <w:jc w:val="left"/>
    </w:pPr>
    <w:rPr>
      <w:rFonts w:ascii="Calibri" w:hAnsi="Calibri" w:eastAsia="Calibri" w:cs="Calibri"/>
      <w:color w:val="auto"/>
      <w:kern w:val="0"/>
      <w:sz w:val="24"/>
      <w:szCs w:val="24"/>
      <w:lang w:val="en-US" w:eastAsia="zh-CN" w:bidi="hi-IN"/>
    </w:rPr>
  </w:style>
  <w:style w:type="paragraph" w:styleId="Title">
    <w:name w:val="Title"/>
    <w:basedOn w:val="normal1"/>
    <w:next w:val="normal1"/>
    <w:qFormat/>
    <w:pPr>
      <w:keepNext w:val="true"/>
      <w:keepLines/>
      <w:pageBreakBefore w:val="false"/>
      <w:widowControl/>
      <w:shd w:val="clear" w:fill="auto"/>
      <w:spacing w:lineRule="auto" w:line="240" w:before="480" w:after="120"/>
      <w:ind w:hanging="0" w:left="0" w:right="0"/>
      <w:jc w:val="left"/>
    </w:pPr>
    <w:rPr>
      <w:rFonts w:ascii="Calibri" w:hAnsi="Calibri" w:eastAsia="Calibri" w:cs="Calibri"/>
      <w:b/>
      <w:bCs/>
      <w:i w:val="false"/>
      <w:iCs w:val="false"/>
      <w:caps w:val="false"/>
      <w:smallCaps w:val="false"/>
      <w:strike w:val="false"/>
      <w:dstrike w:val="false"/>
      <w:color w:val="000000"/>
      <w:position w:val="0"/>
      <w:sz w:val="72"/>
      <w:sz w:val="72"/>
      <w:szCs w:val="72"/>
      <w:u w:val="none"/>
      <w:shd w:fill="auto" w:val="clear"/>
      <w:vertAlign w:val="baseline"/>
    </w:rPr>
  </w:style>
  <w:style w:type="paragraph" w:styleId="Subtitle">
    <w:name w:val="Subtitle"/>
    <w:basedOn w:val="normal1"/>
    <w:next w:val="normal1"/>
    <w:qFormat/>
    <w:pPr>
      <w:keepNext w:val="true"/>
      <w:keepLines/>
      <w:pageBreakBefore w:val="false"/>
      <w:widowControl/>
      <w:shd w:val="clear" w:fill="auto"/>
      <w:spacing w:lineRule="auto" w:line="240" w:before="360" w:after="80"/>
      <w:ind w:hanging="0" w:left="0" w:right="0"/>
      <w:jc w:val="left"/>
    </w:pPr>
    <w:rPr>
      <w:rFonts w:ascii="Georgia" w:hAnsi="Georgia" w:eastAsia="Georgia" w:cs="Georgia"/>
      <w:b w:val="false"/>
      <w:bCs w:val="false"/>
      <w:i/>
      <w:iCs/>
      <w:caps w:val="false"/>
      <w:smallCaps w:val="false"/>
      <w:strike w:val="false"/>
      <w:dstrike w:val="false"/>
      <w:color w:val="666666"/>
      <w:position w:val="0"/>
      <w:sz w:val="48"/>
      <w:sz w:val="48"/>
      <w:szCs w:val="48"/>
      <w:u w:val="none"/>
      <w:shd w:fill="auto" w:val="clear"/>
      <w:vertAlign w:val="baseline"/>
    </w:rPr>
  </w:style>
  <w:style w:type="paragraph" w:styleId="CabealhoeRodap">
    <w:name w:val="Cabeçalho e Rodapé"/>
    <w:basedOn w:val="Normal"/>
    <w:qFormat/>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rPr/>
  </w:style>
  <w:style w:type="paragraph" w:styleId="Cabealhoerodap4">
    <w:name w:val="Cabeçalho e rodapé4"/>
    <w:basedOn w:val="Normal"/>
    <w:qFormat/>
    <w:pPr/>
    <w:rPr/>
  </w:style>
  <w:style w:type="paragraph" w:styleId="Cabealhoerodap5">
    <w:name w:val="Cabeçalho e rodapé5"/>
    <w:basedOn w:val="Normal"/>
    <w:qFormat/>
    <w:pPr/>
    <w:rPr/>
  </w:style>
  <w:style w:type="paragraph" w:styleId="Header">
    <w:name w:val="Header"/>
    <w:basedOn w:val="CabealhoeRodap"/>
    <w:pPr/>
    <w:rPr/>
  </w:style>
  <w:style w:type="paragraph" w:styleId="Footer">
    <w:name w:val="Footer"/>
    <w:basedOn w:val="CabealhoeRodap"/>
    <w:pPr/>
    <w:rPr/>
  </w:style>
  <w:style w:type="paragraph" w:styleId="Contedodatabela">
    <w:name w:val="Conteúdo da tabela"/>
    <w:basedOn w:val="Normal"/>
    <w:qFormat/>
    <w:pPr>
      <w:widowControl w:val="false"/>
      <w:suppressLineNumbers/>
    </w:pPr>
    <w:rPr/>
  </w:style>
  <w:style w:type="paragraph" w:styleId="Ttulodetabela">
    <w:name w:val="Título de tabela"/>
    <w:basedOn w:val="Contedodatabela"/>
    <w:qFormat/>
    <w:pPr>
      <w:suppressLineNumbers/>
      <w:jc w:val="center"/>
    </w:pPr>
    <w:rPr>
      <w:b/>
      <w:bCs/>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
</Relationships>
</file>

<file path=word/_rels/footer1.xml.rels><?xml version="1.0" encoding="UTF-8"?>
<Relationships xmlns="http://schemas.openxmlformats.org/package/2006/relationships"><Relationship Id="rId1" Type="http://schemas.openxmlformats.org/officeDocument/2006/relationships/hyperlink" Target="about:blank" TargetMode="External"/>
</Relationships>
</file>

<file path=word/_rels/footer2.xml.rels><?xml version="1.0" encoding="UTF-8"?>
<Relationships xmlns="http://schemas.openxmlformats.org/package/2006/relationships"><Relationship Id="rId1" Type="http://schemas.openxmlformats.org/officeDocument/2006/relationships/hyperlink" Target="about:blank" TargetMode="External"/>
</Relationships>
</file>

<file path=word/_rels/footer3.xml.rels><?xml version="1.0" encoding="UTF-8"?>
<Relationships xmlns="http://schemas.openxmlformats.org/package/2006/relationships"><Relationship Id="rId1" Type="http://schemas.openxmlformats.org/officeDocument/2006/relationships/hyperlink" Target="about:blank" TargetMode="Externa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E0tCv6ZPDPlCQhflmFMntxc8/2Q==">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165</TotalTime>
  <Application>LibreOffice/24.2.7.2$Linux_X86_64 LibreOffice_project/420$Build-2</Application>
  <AppVersion>15.0000</AppVersion>
  <Pages>2</Pages>
  <Words>711</Words>
  <Characters>3785</Characters>
  <CharactersWithSpaces>4331</CharactersWithSpaces>
  <Paragraphs>190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Elizângela</cp:lastModifiedBy>
  <cp:lastPrinted>2026-08-31T19:17:35Z</cp:lastPrinted>
  <dcterms:modified xsi:type="dcterms:W3CDTF">2026-08-31T19:34:15Z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file>