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left"/>
      </w:pPr>
      <w:r>
        <w:rPr>
          <w:b/>
          <w:color w:val="182025"/>
          <w:sz w:val="44"/>
        </w:rPr>
        <w:t>ANALYSE D'IMPACT RELATIVE À LA PROTECTION DES DONNÉES (DPIA)</w:t>
      </w:r>
    </w:p>
    <w:p>
      <w:pPr>
        <w:spacing w:after="360"/>
      </w:pPr>
      <w:r>
        <w:rPr>
          <w:b/>
          <w:color w:val="FF660F"/>
          <w:sz w:val="22"/>
        </w:rPr>
        <w:t>Projet IA RH — Conforme au cadre CNIL et à l'article 35 du RGPD</w:t>
      </w:r>
    </w:p>
    <w:p>
      <w:pPr>
        <w:spacing w:before="360" w:after="120"/>
      </w:pPr>
      <w:r>
        <w:rPr>
          <w:b/>
          <w:color w:val="FF660F"/>
          <w:sz w:val="32"/>
        </w:rPr>
        <w:t>PHASE 1 — DESCRIPTION DU TRAITEMENT</w:t>
      </w:r>
    </w:p>
    <w:p>
      <w:pPr>
        <w:spacing w:before="240" w:after="80"/>
      </w:pPr>
      <w:r>
        <w:rPr>
          <w:b/>
          <w:color w:val="182025"/>
          <w:sz w:val="26"/>
        </w:rPr>
        <w:t>1.1 Identification du traitement</w:t>
      </w:r>
    </w:p>
    <w:p>
      <w:pPr>
        <w:spacing w:after="120"/>
      </w:pPr>
      <w:r>
        <w:rPr>
          <w:sz w:val="22"/>
        </w:rPr>
        <w:t>Nom du traitement : [À COMPLÉTER]</w:t>
      </w:r>
    </w:p>
    <w:p>
      <w:pPr>
        <w:spacing w:after="120"/>
      </w:pPr>
      <w:r>
        <w:rPr>
          <w:sz w:val="22"/>
        </w:rPr>
        <w:t>Responsable du traitement : [Société, représentée par...]</w:t>
      </w:r>
    </w:p>
    <w:p>
      <w:pPr>
        <w:spacing w:after="120"/>
      </w:pPr>
      <w:r>
        <w:rPr>
          <w:sz w:val="22"/>
        </w:rPr>
        <w:t>Sous-traitant : [Éditeur de l'outil IA]</w:t>
      </w:r>
    </w:p>
    <w:p>
      <w:pPr>
        <w:spacing w:after="120"/>
      </w:pPr>
      <w:r>
        <w:rPr>
          <w:sz w:val="22"/>
        </w:rPr>
        <w:t>Délégué à la Protection des Données (DPO) : [Nom, contact]</w:t>
      </w:r>
    </w:p>
    <w:p>
      <w:pPr>
        <w:spacing w:before="240" w:after="80"/>
      </w:pPr>
      <w:r>
        <w:rPr>
          <w:b/>
          <w:color w:val="182025"/>
          <w:sz w:val="26"/>
        </w:rPr>
        <w:t>1.2 Description fonctionnelle</w:t>
      </w:r>
    </w:p>
    <w:p>
      <w:pPr>
        <w:spacing w:after="120"/>
      </w:pPr>
      <w:r>
        <w:rPr>
          <w:sz w:val="22"/>
        </w:rPr>
        <w:t>Le traitement consiste en : [À DÉTAILLER]</w:t>
      </w:r>
    </w:p>
    <w:p>
      <w:pPr>
        <w:spacing w:after="120"/>
      </w:pPr>
      <w:r>
        <w:rPr>
          <w:sz w:val="22"/>
        </w:rPr>
        <w:t>Par exemple : assistance algorithmique pour présélection / synthèse / rédaction / analyse de [type de données].</w:t>
      </w:r>
    </w:p>
    <w:p>
      <w:pPr>
        <w:spacing w:before="240" w:after="80"/>
      </w:pPr>
      <w:r>
        <w:rPr>
          <w:b/>
          <w:color w:val="182025"/>
          <w:sz w:val="26"/>
        </w:rPr>
        <w:t>1.3 Finalités</w:t>
      </w:r>
    </w:p>
    <w:p>
      <w:pPr>
        <w:pStyle w:val="ListBullet"/>
      </w:pPr>
      <w:r>
        <w:t>[Finalité principale]</w:t>
      </w:r>
    </w:p>
    <w:p>
      <w:pPr>
        <w:pStyle w:val="ListBullet"/>
      </w:pPr>
      <w:r>
        <w:t>[Finalité secondaire le cas échéant]</w:t>
      </w:r>
    </w:p>
    <w:p>
      <w:pPr>
        <w:spacing w:before="240" w:after="80"/>
      </w:pPr>
      <w:r>
        <w:rPr>
          <w:b/>
          <w:color w:val="182025"/>
          <w:sz w:val="26"/>
        </w:rPr>
        <w:t>1.4 Base légale</w:t>
      </w:r>
    </w:p>
    <w:p>
      <w:pPr>
        <w:spacing w:after="120"/>
      </w:pPr>
      <w:r>
        <w:rPr>
          <w:b/>
          <w:sz w:val="22"/>
        </w:rPr>
        <w:t>La base légale retenue est :</w:t>
      </w:r>
    </w:p>
    <w:p>
      <w:pPr>
        <w:pStyle w:val="ListBullet"/>
      </w:pPr>
      <w:r>
        <w:t>[ ] Consentement (Art. 6.1.a RGPD)</w:t>
      </w:r>
    </w:p>
    <w:p>
      <w:pPr>
        <w:pStyle w:val="ListBullet"/>
      </w:pPr>
      <w:r>
        <w:t>[ ] Exécution d'un contrat (Art. 6.1.b RGPD)</w:t>
      </w:r>
    </w:p>
    <w:p>
      <w:pPr>
        <w:pStyle w:val="ListBullet"/>
      </w:pPr>
      <w:r>
        <w:t>[ ] Obligation légale (Art. 6.1.c RGPD)</w:t>
      </w:r>
    </w:p>
    <w:p>
      <w:pPr>
        <w:pStyle w:val="ListBullet"/>
      </w:pPr>
      <w:r>
        <w:t>[ ] Intérêt légitime (Art. 6.1.f RGPD)</w:t>
      </w:r>
    </w:p>
    <w:p>
      <w:pPr>
        <w:spacing w:before="240" w:after="80"/>
      </w:pPr>
      <w:r>
        <w:rPr>
          <w:b/>
          <w:color w:val="182025"/>
          <w:sz w:val="26"/>
        </w:rPr>
        <w:t>1.5 Catégories de données</w:t>
      </w:r>
    </w:p>
    <w:p>
      <w:pPr>
        <w:spacing w:after="120"/>
      </w:pPr>
      <w:r>
        <w:rPr>
          <w:sz w:val="22"/>
        </w:rPr>
        <w:t>Données traitées :</w:t>
      </w:r>
    </w:p>
    <w:p>
      <w:pPr>
        <w:pStyle w:val="ListBullet"/>
      </w:pPr>
      <w:r>
        <w:t>Données d'identification : [Oui / Non]</w:t>
      </w:r>
    </w:p>
    <w:p>
      <w:pPr>
        <w:pStyle w:val="ListBullet"/>
      </w:pPr>
      <w:r>
        <w:t>Données professionnelles : [Oui / Non]</w:t>
      </w:r>
    </w:p>
    <w:p>
      <w:pPr>
        <w:pStyle w:val="ListBullet"/>
      </w:pPr>
      <w:r>
        <w:t>Données sensibles : [Oui / Non — si oui, lesquelles]</w:t>
      </w:r>
    </w:p>
    <w:p>
      <w:pPr>
        <w:spacing w:before="240" w:after="80"/>
      </w:pPr>
      <w:r>
        <w:rPr>
          <w:b/>
          <w:color w:val="182025"/>
          <w:sz w:val="26"/>
        </w:rPr>
        <w:t>1.6 Catégories de personnes concernées</w:t>
      </w:r>
    </w:p>
    <w:p>
      <w:pPr>
        <w:pStyle w:val="ListBullet"/>
      </w:pPr>
      <w:r>
        <w:t>Salariés</w:t>
      </w:r>
    </w:p>
    <w:p>
      <w:pPr>
        <w:pStyle w:val="ListBullet"/>
      </w:pPr>
      <w:r>
        <w:t>Candidats</w:t>
      </w:r>
    </w:p>
    <w:p>
      <w:pPr>
        <w:pStyle w:val="ListBullet"/>
      </w:pPr>
      <w:r>
        <w:t>Anciens salariés</w:t>
      </w:r>
    </w:p>
    <w:p>
      <w:pPr>
        <w:pStyle w:val="ListBullet"/>
      </w:pPr>
      <w:r>
        <w:t>Autres : [À PRÉCISER]</w:t>
      </w:r>
    </w:p>
    <w:p>
      <w:pPr>
        <w:spacing w:before="240" w:after="80"/>
      </w:pPr>
      <w:r>
        <w:rPr>
          <w:b/>
          <w:color w:val="182025"/>
          <w:sz w:val="26"/>
        </w:rPr>
        <w:t>1.7 Destinataires</w:t>
      </w:r>
    </w:p>
    <w:p>
      <w:pPr>
        <w:pStyle w:val="ListBullet"/>
      </w:pPr>
      <w:r>
        <w:t>Service RH (interne)</w:t>
      </w:r>
    </w:p>
    <w:p>
      <w:pPr>
        <w:pStyle w:val="ListBullet"/>
      </w:pPr>
      <w:r>
        <w:t>Managers (interne)</w:t>
      </w:r>
    </w:p>
    <w:p>
      <w:pPr>
        <w:pStyle w:val="ListBullet"/>
      </w:pPr>
      <w:r>
        <w:t>Éditeur de l'outil IA (sous-traitant)</w:t>
      </w:r>
    </w:p>
    <w:p>
      <w:pPr>
        <w:pStyle w:val="ListBullet"/>
      </w:pPr>
      <w:r>
        <w:t>Hébergeur des données (sous-traitant)</w:t>
      </w:r>
    </w:p>
    <w:p>
      <w:pPr>
        <w:spacing w:before="240" w:after="80"/>
      </w:pPr>
      <w:r>
        <w:rPr>
          <w:b/>
          <w:color w:val="182025"/>
          <w:sz w:val="26"/>
        </w:rPr>
        <w:t>1.8 Durées de conservation</w:t>
      </w:r>
    </w:p>
    <w:p>
      <w:pPr>
        <w:pStyle w:val="ListBullet"/>
      </w:pPr>
      <w:r>
        <w:t>Données actives : [DURÉE]</w:t>
      </w:r>
    </w:p>
    <w:p>
      <w:pPr>
        <w:pStyle w:val="ListBullet"/>
      </w:pPr>
      <w:r>
        <w:t>Archivage intermédiaire : [DURÉE]</w:t>
      </w:r>
    </w:p>
    <w:p>
      <w:pPr>
        <w:pStyle w:val="ListBullet"/>
      </w:pPr>
      <w:r>
        <w:t>Suppression définitive : [MODALITÉ]</w:t>
      </w:r>
    </w:p>
    <w:p>
      <w:pPr>
        <w:spacing w:before="240" w:after="80"/>
      </w:pPr>
      <w:r>
        <w:rPr>
          <w:b/>
          <w:color w:val="182025"/>
          <w:sz w:val="26"/>
        </w:rPr>
        <w:t>1.9 Transferts hors UE</w:t>
      </w:r>
    </w:p>
    <w:p>
      <w:pPr>
        <w:spacing w:after="120"/>
      </w:pPr>
      <w:r>
        <w:rPr>
          <w:sz w:val="22"/>
        </w:rPr>
        <w:t>[ ] Aucun transfert hors UE</w:t>
      </w:r>
    </w:p>
    <w:p>
      <w:pPr>
        <w:spacing w:after="120"/>
      </w:pPr>
      <w:r>
        <w:rPr>
          <w:sz w:val="22"/>
        </w:rPr>
        <w:t>[ ] Transfert vers : [PAYS]. Mécanisme : [Clauses Type Commission Européenne / Décision d'adéquation / Autre]</w:t>
      </w:r>
    </w:p>
    <w:p>
      <w:pPr>
        <w:spacing w:before="360" w:after="120"/>
      </w:pPr>
      <w:r>
        <w:rPr>
          <w:b/>
          <w:color w:val="FF660F"/>
          <w:sz w:val="32"/>
        </w:rPr>
        <w:t>PHASE 2 — ÉVALUATION DE LA NÉCESSITÉ ET DE LA PROPORTIONNALITÉ</w:t>
      </w:r>
    </w:p>
    <w:p>
      <w:pPr>
        <w:spacing w:before="240" w:after="80"/>
      </w:pPr>
      <w:r>
        <w:rPr>
          <w:b/>
          <w:color w:val="182025"/>
          <w:sz w:val="26"/>
        </w:rPr>
        <w:t>2.1 Pertinence des données</w:t>
      </w:r>
    </w:p>
    <w:p>
      <w:pPr>
        <w:spacing w:after="120"/>
      </w:pPr>
      <w:r>
        <w:rPr>
          <w:sz w:val="22"/>
        </w:rPr>
        <w:t>Les données traitées sont-elles strictement nécessaires aux finalités ? [Oui / Non]</w:t>
      </w:r>
    </w:p>
    <w:p>
      <w:pPr>
        <w:spacing w:after="120"/>
      </w:pPr>
      <w:r>
        <w:rPr>
          <w:sz w:val="22"/>
        </w:rPr>
        <w:t>Justification : [À DÉTAILLER]</w:t>
      </w:r>
    </w:p>
    <w:p>
      <w:pPr>
        <w:spacing w:before="240" w:after="80"/>
      </w:pPr>
      <w:r>
        <w:rPr>
          <w:b/>
          <w:color w:val="182025"/>
          <w:sz w:val="26"/>
        </w:rPr>
        <w:t>2.2 Information des personnes</w:t>
      </w:r>
    </w:p>
    <w:p>
      <w:pPr>
        <w:spacing w:after="120"/>
      </w:pPr>
      <w:r>
        <w:rPr>
          <w:sz w:val="22"/>
        </w:rPr>
        <w:t>Modalités d'information : [Charte, mention dans contrat, note CSE, affichage]</w:t>
      </w:r>
    </w:p>
    <w:p>
      <w:pPr>
        <w:spacing w:before="240" w:after="80"/>
      </w:pPr>
      <w:r>
        <w:rPr>
          <w:b/>
          <w:color w:val="182025"/>
          <w:sz w:val="26"/>
        </w:rPr>
        <w:t>2.3 Recueil du consentement (si applicable)</w:t>
      </w:r>
    </w:p>
    <w:p>
      <w:pPr>
        <w:spacing w:after="120"/>
      </w:pPr>
      <w:r>
        <w:rPr>
          <w:sz w:val="22"/>
        </w:rPr>
        <w:t>Modalités : [À DÉTAILLER]</w:t>
      </w:r>
    </w:p>
    <w:p>
      <w:pPr>
        <w:spacing w:before="240" w:after="80"/>
      </w:pPr>
      <w:r>
        <w:rPr>
          <w:b/>
          <w:color w:val="182025"/>
          <w:sz w:val="26"/>
        </w:rPr>
        <w:t>2.4 Exercice des droits</w:t>
      </w:r>
    </w:p>
    <w:p>
      <w:pPr>
        <w:spacing w:after="120"/>
      </w:pPr>
      <w:r>
        <w:rPr>
          <w:sz w:val="22"/>
        </w:rPr>
        <w:t>Modalités prévues pour permettre aux personnes d'exercer leurs droits (accès, rectification, opposition, intervention humaine) : [À DÉTAILLER]</w:t>
      </w:r>
    </w:p>
    <w:p>
      <w:pPr>
        <w:spacing w:before="360" w:after="120"/>
      </w:pPr>
      <w:r>
        <w:rPr>
          <w:b/>
          <w:color w:val="FF660F"/>
          <w:sz w:val="32"/>
        </w:rPr>
        <w:t>PHASE 3 — ÉVALUATION DES RISQUES</w:t>
      </w:r>
    </w:p>
    <w:p>
      <w:pPr>
        <w:spacing w:before="240" w:after="80"/>
      </w:pPr>
      <w:r>
        <w:rPr>
          <w:b/>
          <w:color w:val="182025"/>
          <w:sz w:val="26"/>
        </w:rPr>
        <w:t>3.1 Risque d'accès illégitime aux données</w:t>
      </w:r>
    </w:p>
    <w:p>
      <w:pPr>
        <w:spacing w:after="120"/>
      </w:pPr>
      <w:r>
        <w:rPr>
          <w:sz w:val="22"/>
        </w:rPr>
        <w:t>Probabilité : [Négligeable / Limitée / Importante / Maximale]</w:t>
      </w:r>
    </w:p>
    <w:p>
      <w:pPr>
        <w:spacing w:after="120"/>
      </w:pPr>
      <w:r>
        <w:rPr>
          <w:sz w:val="22"/>
        </w:rPr>
        <w:t>Gravité : [Négligeable / Limitée / Importante / Maximale]</w:t>
      </w:r>
    </w:p>
    <w:p>
      <w:pPr>
        <w:spacing w:after="120"/>
      </w:pPr>
      <w:r>
        <w:rPr>
          <w:sz w:val="22"/>
        </w:rPr>
        <w:t>Mesures de réduction : [À DÉTAILLER]</w:t>
      </w:r>
    </w:p>
    <w:p>
      <w:pPr>
        <w:spacing w:before="240" w:after="80"/>
      </w:pPr>
      <w:r>
        <w:rPr>
          <w:b/>
          <w:color w:val="182025"/>
          <w:sz w:val="26"/>
        </w:rPr>
        <w:t>3.2 Risque de modification non désirée des données</w:t>
      </w:r>
    </w:p>
    <w:p>
      <w:pPr>
        <w:spacing w:after="120"/>
      </w:pPr>
      <w:r>
        <w:rPr>
          <w:sz w:val="22"/>
        </w:rPr>
        <w:t>Probabilité : [À ÉVALUER]</w:t>
      </w:r>
    </w:p>
    <w:p>
      <w:pPr>
        <w:spacing w:after="120"/>
      </w:pPr>
      <w:r>
        <w:rPr>
          <w:sz w:val="22"/>
        </w:rPr>
        <w:t>Gravité : [À ÉVALUER]</w:t>
      </w:r>
    </w:p>
    <w:p>
      <w:pPr>
        <w:spacing w:after="120"/>
      </w:pPr>
      <w:r>
        <w:rPr>
          <w:sz w:val="22"/>
        </w:rPr>
        <w:t>Mesures de réduction : [À DÉTAILLER]</w:t>
      </w:r>
    </w:p>
    <w:p>
      <w:pPr>
        <w:spacing w:before="240" w:after="80"/>
      </w:pPr>
      <w:r>
        <w:rPr>
          <w:b/>
          <w:color w:val="182025"/>
          <w:sz w:val="26"/>
        </w:rPr>
        <w:t>3.3 Risque de disparition des données</w:t>
      </w:r>
    </w:p>
    <w:p>
      <w:pPr>
        <w:spacing w:after="120"/>
      </w:pPr>
      <w:r>
        <w:rPr>
          <w:sz w:val="22"/>
        </w:rPr>
        <w:t>Probabilité : [À ÉVALUER]</w:t>
      </w:r>
    </w:p>
    <w:p>
      <w:pPr>
        <w:spacing w:after="120"/>
      </w:pPr>
      <w:r>
        <w:rPr>
          <w:sz w:val="22"/>
        </w:rPr>
        <w:t>Gravité : [À ÉVALUER]</w:t>
      </w:r>
    </w:p>
    <w:p>
      <w:pPr>
        <w:spacing w:after="120"/>
      </w:pPr>
      <w:r>
        <w:rPr>
          <w:sz w:val="22"/>
        </w:rPr>
        <w:t>Mesures de réduction : [À DÉTAILLER]</w:t>
      </w:r>
    </w:p>
    <w:p>
      <w:pPr>
        <w:spacing w:before="240" w:after="80"/>
      </w:pPr>
      <w:r>
        <w:rPr>
          <w:b/>
          <w:color w:val="182025"/>
          <w:sz w:val="26"/>
        </w:rPr>
        <w:t>3.4 Risque spécifique à l'IA : biais et discrimination</w:t>
      </w:r>
    </w:p>
    <w:p>
      <w:pPr>
        <w:spacing w:after="120"/>
      </w:pPr>
      <w:r>
        <w:rPr>
          <w:sz w:val="22"/>
        </w:rPr>
        <w:t>Probabilité : [À ÉVALUER]</w:t>
      </w:r>
    </w:p>
    <w:p>
      <w:pPr>
        <w:spacing w:after="120"/>
      </w:pPr>
      <w:r>
        <w:rPr>
          <w:sz w:val="22"/>
        </w:rPr>
        <w:t>Gravité : [À ÉVALUER]</w:t>
      </w:r>
    </w:p>
    <w:p>
      <w:pPr>
        <w:spacing w:after="120"/>
      </w:pPr>
      <w:r>
        <w:rPr>
          <w:sz w:val="22"/>
        </w:rPr>
        <w:t>Mesures de réduction :</w:t>
      </w:r>
    </w:p>
    <w:p>
      <w:pPr>
        <w:pStyle w:val="ListBullet"/>
      </w:pPr>
      <w:r>
        <w:t>Supervision humaine systématique des sorties</w:t>
      </w:r>
    </w:p>
    <w:p>
      <w:pPr>
        <w:pStyle w:val="ListBullet"/>
      </w:pPr>
      <w:r>
        <w:t>Audit régulier des biais</w:t>
      </w:r>
    </w:p>
    <w:p>
      <w:pPr>
        <w:pStyle w:val="ListBullet"/>
      </w:pPr>
      <w:r>
        <w:t>Critères d'évaluation 100% objectifs</w:t>
      </w:r>
    </w:p>
    <w:p>
      <w:pPr>
        <w:pStyle w:val="ListBullet"/>
      </w:pPr>
      <w:r>
        <w:t>Documentation de chaque décision</w:t>
      </w:r>
    </w:p>
    <w:p>
      <w:pPr>
        <w:spacing w:before="360" w:after="120"/>
      </w:pPr>
      <w:r>
        <w:rPr>
          <w:b/>
          <w:color w:val="FF660F"/>
          <w:sz w:val="32"/>
        </w:rPr>
        <w:t>PHASE 4 — VALIDATION</w:t>
      </w:r>
    </w:p>
    <w:p>
      <w:pPr>
        <w:spacing w:before="240" w:after="80"/>
      </w:pPr>
      <w:r>
        <w:rPr>
          <w:b/>
          <w:color w:val="182025"/>
          <w:sz w:val="26"/>
        </w:rPr>
        <w:t>4.1 Avis du DPO</w:t>
      </w:r>
    </w:p>
    <w:p>
      <w:pPr>
        <w:spacing w:after="240"/>
        <w:ind w:left="283"/>
      </w:pPr>
      <w:r>
        <w:rPr>
          <w:i/>
          <w:color w:val="6B7680"/>
          <w:sz w:val="20"/>
        </w:rPr>
        <w:t>📌 Espace réservé à l'avis du DPO : ________________________________________________</w:t>
      </w:r>
    </w:p>
    <w:p>
      <w:pPr>
        <w:spacing w:before="240" w:after="80"/>
      </w:pPr>
      <w:r>
        <w:rPr>
          <w:b/>
          <w:color w:val="182025"/>
          <w:sz w:val="26"/>
        </w:rPr>
        <w:t>4.2 Décision du responsable de traitement</w:t>
      </w:r>
    </w:p>
    <w:p>
      <w:pPr>
        <w:pStyle w:val="ListBullet"/>
      </w:pPr>
      <w:r>
        <w:t>[ ] Traitement autorisé</w:t>
      </w:r>
    </w:p>
    <w:p>
      <w:pPr>
        <w:pStyle w:val="ListBullet"/>
      </w:pPr>
      <w:r>
        <w:t>[ ] Traitement autorisé sous conditions : [LISTER]</w:t>
      </w:r>
    </w:p>
    <w:p>
      <w:pPr>
        <w:pStyle w:val="ListBullet"/>
      </w:pPr>
      <w:r>
        <w:t>[ ] Traitement refusé : [JUSTIFIER]</w:t>
      </w:r>
    </w:p>
    <w:p>
      <w:pPr>
        <w:spacing w:before="240" w:after="80"/>
      </w:pPr>
      <w:r>
        <w:rPr>
          <w:b/>
          <w:color w:val="182025"/>
          <w:sz w:val="26"/>
        </w:rPr>
        <w:t>4.3 Consultation préalable de la CNIL</w:t>
      </w:r>
    </w:p>
    <w:p>
      <w:pPr>
        <w:spacing w:after="120"/>
      </w:pPr>
      <w:r>
        <w:rPr>
          <w:sz w:val="22"/>
        </w:rPr>
        <w:t>Si le DPIA révèle un risque résiduel élevé non maîtrisable, consultation préalable de la CNIL (Art. 36 RGPD).</w:t>
      </w:r>
    </w:p>
    <w:p>
      <w:pPr>
        <w:pStyle w:val="ListBullet"/>
      </w:pPr>
      <w:r>
        <w:t>[ ] Consultation CNIL nécessaire</w:t>
      </w:r>
    </w:p>
    <w:p>
      <w:pPr>
        <w:pStyle w:val="ListBullet"/>
      </w:pPr>
      <w:r>
        <w:t>[ ] Consultation CNIL non nécessaire</w:t>
      </w:r>
    </w:p>
    <w:p/>
    <w:p>
      <w:pPr>
        <w:jc w:val="right"/>
      </w:pPr>
      <w:r>
        <w:rPr>
          <w:i/>
          <w:sz w:val="20"/>
        </w:rPr>
        <w:t>Date du DPIA : ____________________</w:t>
        <w:br/>
        <w:t>Signature DPO : ____________________</w:t>
        <w:br/>
        <w:t>Signature Responsable de traitement : 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82025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