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Individual Comment Template</w:t>
      </w:r>
    </w:p>
    <w:p w:rsidR="00000000" w:rsidDel="00000000" w:rsidP="00000000" w:rsidRDefault="00000000" w:rsidRPr="00000000" w14:paraId="00000002">
      <w:pPr>
        <w:pStyle w:val="Heading2"/>
        <w:rPr/>
      </w:pPr>
      <w:r w:rsidDel="00000000" w:rsidR="00000000" w:rsidRPr="00000000">
        <w:rPr>
          <w:rtl w:val="0"/>
        </w:rPr>
        <w:t xml:space="preserve">For Nurse Coaches submitting a personal comment to CMS on CPT codes 0591T, 0592T, and 0593T</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Due September 14, 2026, 11:59 p.m. ET · Submit at </w:t>
      </w:r>
      <w:hyperlink r:id="rId7">
        <w:r w:rsidDel="00000000" w:rsidR="00000000" w:rsidRPr="00000000">
          <w:rPr>
            <w:rFonts w:ascii="Cambria" w:cs="Cambria" w:eastAsia="Cambria" w:hAnsi="Cambria"/>
            <w:b w:val="0"/>
            <w:bCs w:val="0"/>
            <w:i w:val="1"/>
            <w:iCs w:val="1"/>
            <w:smallCaps w:val="0"/>
            <w:strike w:val="0"/>
            <w:color w:val="1155cc"/>
            <w:sz w:val="24"/>
            <w:szCs w:val="24"/>
            <w:u w:val="single"/>
            <w:shd w:fill="auto" w:val="clear"/>
            <w:vertAlign w:val="baseline"/>
            <w:rtl w:val="0"/>
          </w:rPr>
          <w:t xml:space="preserve">www.regulations.gov/docket/CMS-2026-2377</w:t>
        </w:r>
      </w:hyperlink>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  · File code CMS-1848-P</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Why your individual comment matters.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CMS reads and tallies individual comments separately from organizational letters. In the last cycle, personal accounts from practicing coaches shaped the agency’s proposal. One patient, one outcome, told in a paragraph, is the most persuasive thing this letter can contain.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Do not submit this unedited.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CMS discourages duplicative comments; identical text still gets posted, but a letter in your own words carries far more weight. Reword at least the opening and closing. Highlighted text marks what to personalize.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Before you file: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comments are posted publicly on regulations.gov, including your name. Remove all patient-identifying details. You may comment as an individual without employer approval, but do not name your employer unless you are authorized to speak for it.</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bookmarkStart w:colFirst="0" w:colLast="0" w:name="bookmark=id.pqt5yv5773ui" w:id="0"/>
    <w:bookmarkEnd w:id="0"/>
    <w:p w:rsidR="00000000" w:rsidDel="00000000" w:rsidP="00000000" w:rsidRDefault="00000000" w:rsidRPr="00000000" w14:paraId="00000008">
      <w:pPr>
        <w:pStyle w:val="Heading1"/>
        <w:rPr/>
      </w:pPr>
      <w:r w:rsidDel="00000000" w:rsidR="00000000" w:rsidRPr="00000000">
        <w:rPr>
          <w:rtl w:val="0"/>
        </w:rPr>
        <w:t xml:space="preserve">Comment Letter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[Date]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Centers for Medicare &amp; Medicaid Services</w:t>
        <w:br w:type="textWrapping"/>
        <w:t xml:space="preserve">Department of Health and Human Services</w:t>
        <w:br w:type="textWrapping"/>
        <w:t xml:space="preserve">Attention: CMS-1848-P</w:t>
        <w:br w:type="textWrapping"/>
        <w:t xml:space="preserve">P.O. Box 8016, Baltimore, MD 21244-8016</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Submitted electronically via www.regulations.gov</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 CY 2027 Payment Policies under the Physician Fee Schedule (CMS-1848-P), 91 FR 43842, Section II.D.3.c.(56), Health Coaching (CPT codes 0591T, 0592T, and 0593T): Conditions of Payment and Supervision Requirements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Dear Administrator: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am a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Registered Nurse / Advanced Practice Registered Nurse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board-certified Nurse Coach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(NC-BC / HWNC-BC)</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practicing in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[city, state, and setting: for example, a rural primary care clinic, a community health program, private practice]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 have been a nurse for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[X]</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years and have provided health and well-being coaching for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[X]</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years. I strongly support CMS’s proposal to establish national payment for CPT codes 0591T, 0592T, and 0593T, and I ask CMS to change one condition of payment: do not require licensed, board-certified Nurse Coaches to work under the supervision of a billing practitioner.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[YOUR STORY. 3 to 6 sentences. Describe one beneficiary, with no identifying details, whose health improved through your coaching: the chronic condition, the lifest</w:t>
      </w:r>
      <w:r w:rsidDel="00000000" w:rsidR="00000000" w:rsidRPr="00000000">
        <w:rPr>
          <w:highlight w:val="yellow"/>
          <w:rtl w:val="0"/>
        </w:rPr>
        <w:t xml:space="preserve">yle/</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behavior change, the outcome. If a supervision or billing barrier has ever delayed, limited, or prevented you from providing coaching, say so specifically: sessions that could not be scheduled because no practitioner was available, patients who lost access, group programs you could not offer.]</w:t>
      </w:r>
      <w:r w:rsidDel="00000000" w:rsidR="00000000" w:rsidRPr="00000000">
        <w:rPr>
          <w:highlight w:val="yellow"/>
          <w:rtl w:val="0"/>
        </w:rPr>
        <w:t xml:space="preserve"> Chronic illness case studies are what CMS is interested in!</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 a licensed nurse, I am not unlicensed auxiliary personnel. My state license authorizes me to perform health promotion, patient education, and behavior-change co</w:t>
      </w:r>
      <w:r w:rsidDel="00000000" w:rsidR="00000000" w:rsidRPr="00000000">
        <w:rPr>
          <w:rtl w:val="0"/>
        </w:rPr>
        <w:t xml:space="preserve">aching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independently</w:t>
      </w:r>
      <w:r w:rsidDel="00000000" w:rsidR="00000000" w:rsidRPr="00000000">
        <w:rPr>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These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are core functions of nursing under every state’s nurse practice act. I am accountable to my state board of nursing. My AHNCC board certification, the credential CMS itself proposes to recognize, required an active, unrestricted RN or APRN license, dedicated Nurse Coach education, supervised practice hours, and a national examination. Requiring a billing practitioner to supervise a service already within my independent licensed scope adds no patient protection. It only limits when and where beneficiaries can receive care.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understand that, effective January 1, 2026, direct supervision may be satisfied through real-time audio-video presence rather than physical presence. That does not resolve the problem. Direct supervision still requires another practitioner to be immediately available throughout every session, which constrains scheduling, makes group coaching under 0593T difficult to operate, and ties nursing care to a second professional’s calendar rather than to the patient’s need.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proposal is also inconsistent with itself. CMS crosswalks the valuation of 0591T and 0592T to Chronic Care Management codes 99490 and 99439 precisely because those visit-based services are furnished under general supervision, yet proposes direct supervision as a condition of payment. CMS would further permit coaches employed by community-based organizations to work under general supervision. A licensed, board-certified nurse should not face stricter oversight than a non-licensed coach based on where they happen to be employed.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American Nurses Association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Code of Ethics for Nurses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provides in Provision 4 that “nurses have authority over nursing practice” and are accountable for it, and in Provision 8 that nurses </w:t>
      </w:r>
      <w:r w:rsidDel="00000000" w:rsidR="00000000" w:rsidRPr="00000000">
        <w:rPr>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build collaborative relationships across disciplines to achieve greater ends</w:t>
      </w:r>
      <w:r w:rsidDel="00000000" w:rsidR="00000000" w:rsidRPr="00000000">
        <w:rPr>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 already collaborate with and coordinate care alongside the practitioners who treat my patients. That collaboration is a professional obligation I fulfill as a colleague. It does not </w:t>
      </w:r>
      <w:r w:rsidDel="00000000" w:rsidR="00000000" w:rsidRPr="00000000">
        <w:rPr>
          <w:rtl w:val="0"/>
        </w:rPr>
        <w:t xml:space="preserve">require supervisory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oversight.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 respectfully ask CMS to: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Finalize national payment for CPT codes 0591T, 0592T, and 0593T as proposed.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Remove the practitioner-supervision condition of payment for services furnished by licensed RNs and APRNs holding AHNCC board certification (NC-BC, HWNC-BC), deferring instead to state licensure and scope-of-practice law.</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Name AHNCC board-certified Nurse Coaches explicitly among qualified personnel, </w:t>
      </w:r>
      <w:r w:rsidDel="00000000" w:rsidR="00000000" w:rsidRPr="00000000">
        <w:rPr>
          <w:rtl w:val="0"/>
        </w:rPr>
        <w:t xml:space="preserve">and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establish a pathway for licensed Nurse Coaches to furnish and bill these services directly.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[Optional closing: one sentence on what this change would let you do for your patients or your community.]</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Thank you for advancing prevention and whole-person care for Medicare and Medicaid beneficiaries.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Respectfully submitted,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[Name, credentials]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[City, State]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[Email, optional]</w:t>
      </w:r>
      <w:r w:rsidDel="00000000" w:rsidR="00000000" w:rsidRPr="00000000">
        <w:rPr>
          <w:rtl w:val="0"/>
        </w:rPr>
      </w:r>
    </w:p>
    <w:p w:rsidR="00000000" w:rsidDel="00000000" w:rsidP="00000000" w:rsidRDefault="00000000" w:rsidRPr="00000000" w14:paraId="0000001C">
      <w:pPr>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Optional points to swap in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If a paragraph above doesn’t fit your practice, replace it with one of these suggestions. Two or three well-made arguments land better than all of them.</w:t>
      </w:r>
      <w:r w:rsidDel="00000000" w:rsidR="00000000" w:rsidRPr="00000000">
        <w:rPr>
          <w:rtl w:val="0"/>
        </w:rPr>
      </w:r>
    </w:p>
    <w:p w:rsidR="00000000" w:rsidDel="00000000" w:rsidP="00000000" w:rsidRDefault="00000000" w:rsidRPr="00000000" w14:paraId="0000001F">
      <w:pPr>
        <w:numPr>
          <w:ilvl w:val="0"/>
          <w:numId w:val="2"/>
        </w:numPr>
        <w:ind w:left="720" w:hanging="480"/>
        <w:rPr/>
      </w:pPr>
      <w:r w:rsidDel="00000000" w:rsidR="00000000" w:rsidRPr="00000000">
        <w:rPr>
          <w:b w:val="1"/>
          <w:bCs w:val="1"/>
          <w:rtl w:val="0"/>
        </w:rPr>
        <w:t xml:space="preserve">Access.</w:t>
      </w:r>
      <w:r w:rsidDel="00000000" w:rsidR="00000000" w:rsidRPr="00000000">
        <w:rPr>
          <w:rtl w:val="0"/>
        </w:rPr>
        <w:t xml:space="preserve"> “I practice in a rural and underserved area where no billing practitioner is consistently available. A supervision requirement means my patients simply will not receive these services.”</w:t>
      </w:r>
    </w:p>
    <w:p w:rsidR="00000000" w:rsidDel="00000000" w:rsidP="00000000" w:rsidRDefault="00000000" w:rsidRPr="00000000" w14:paraId="00000020">
      <w:pPr>
        <w:numPr>
          <w:ilvl w:val="0"/>
          <w:numId w:val="2"/>
        </w:numPr>
        <w:ind w:left="720" w:hanging="480"/>
        <w:rPr/>
      </w:pPr>
      <w:r w:rsidDel="00000000" w:rsidR="00000000" w:rsidRPr="00000000">
        <w:rPr>
          <w:b w:val="1"/>
          <w:bCs w:val="1"/>
          <w:rtl w:val="0"/>
        </w:rPr>
        <w:t xml:space="preserve">Telehealth.</w:t>
      </w:r>
      <w:r w:rsidDel="00000000" w:rsidR="00000000" w:rsidRPr="00000000">
        <w:rPr>
          <w:rtl w:val="0"/>
        </w:rPr>
        <w:t xml:space="preserve"> “These codes are on the Medicare Telehealth Services List, but conditioning them on a supervising practitioner’s real-time availability undermines the modality my older and mobility-limited patients depend on.”</w:t>
      </w:r>
    </w:p>
    <w:p w:rsidR="00000000" w:rsidDel="00000000" w:rsidP="00000000" w:rsidRDefault="00000000" w:rsidRPr="00000000" w14:paraId="00000021">
      <w:pPr>
        <w:numPr>
          <w:ilvl w:val="0"/>
          <w:numId w:val="2"/>
        </w:numPr>
        <w:ind w:left="720" w:hanging="480"/>
        <w:rPr/>
      </w:pPr>
      <w:r w:rsidDel="00000000" w:rsidR="00000000" w:rsidRPr="00000000">
        <w:rPr>
          <w:b w:val="1"/>
          <w:bCs w:val="1"/>
          <w:rtl w:val="0"/>
        </w:rPr>
        <w:t xml:space="preserve">Group coaching.</w:t>
      </w:r>
      <w:r w:rsidDel="00000000" w:rsidR="00000000" w:rsidRPr="00000000">
        <w:rPr>
          <w:rtl w:val="0"/>
        </w:rPr>
        <w:t xml:space="preserve"> “The group code, 0593T, is the most scalable and affordable way to reach beneficiaries with prediabetes, hypertension, and obesity. Supervision requirements make group scheduling nearly impossible in my setting.”</w:t>
      </w:r>
    </w:p>
    <w:p w:rsidR="00000000" w:rsidDel="00000000" w:rsidP="00000000" w:rsidRDefault="00000000" w:rsidRPr="00000000" w14:paraId="00000022">
      <w:pPr>
        <w:numPr>
          <w:ilvl w:val="0"/>
          <w:numId w:val="2"/>
        </w:numPr>
        <w:ind w:left="720" w:hanging="480"/>
        <w:rPr/>
      </w:pPr>
      <w:r w:rsidDel="00000000" w:rsidR="00000000" w:rsidRPr="00000000">
        <w:rPr>
          <w:b w:val="1"/>
          <w:bCs w:val="1"/>
          <w:rtl w:val="0"/>
        </w:rPr>
        <w:t xml:space="preserve">Safety.</w:t>
      </w:r>
      <w:r w:rsidDel="00000000" w:rsidR="00000000" w:rsidRPr="00000000">
        <w:rPr>
          <w:rtl w:val="0"/>
        </w:rPr>
        <w:t xml:space="preserve"> “As a licensed nurse, I recognize warning signs, understand my patients’ comorbidities and medications, and escalate concerns to the care team. Those are clinical safeguards no supervision requirement can add.”</w:t>
      </w:r>
    </w:p>
    <w:p w:rsidR="00000000" w:rsidDel="00000000" w:rsidP="00000000" w:rsidRDefault="00000000" w:rsidRPr="00000000" w14:paraId="00000023">
      <w:pPr>
        <w:numPr>
          <w:ilvl w:val="0"/>
          <w:numId w:val="2"/>
        </w:numPr>
        <w:ind w:left="720" w:hanging="480"/>
        <w:rPr/>
      </w:pPr>
      <w:r w:rsidDel="00000000" w:rsidR="00000000" w:rsidRPr="00000000">
        <w:rPr>
          <w:b w:val="1"/>
          <w:bCs w:val="1"/>
          <w:rtl w:val="0"/>
        </w:rPr>
        <w:t xml:space="preserve">Cost.</w:t>
      </w:r>
      <w:r w:rsidDel="00000000" w:rsidR="00000000" w:rsidRPr="00000000">
        <w:rPr>
          <w:rtl w:val="0"/>
        </w:rPr>
        <w:t xml:space="preserve"> “Coaching that helps a beneficiary control blood pressure or blood glucose avoids the utilization that drives Medicare costs. Supervision requirements reduce the number of professionals available to deliver it.”</w:t>
      </w:r>
    </w:p>
    <w:p w:rsidR="00000000" w:rsidDel="00000000" w:rsidP="00000000" w:rsidRDefault="00000000" w:rsidRPr="00000000" w14:paraId="00000024">
      <w:pPr>
        <w:numPr>
          <w:ilvl w:val="0"/>
          <w:numId w:val="2"/>
        </w:numPr>
        <w:ind w:left="720" w:hanging="480"/>
        <w:rPr/>
      </w:pPr>
      <w:r w:rsidDel="00000000" w:rsidR="00000000" w:rsidRPr="00000000">
        <w:rPr>
          <w:b w:val="1"/>
          <w:bCs w:val="1"/>
          <w:rtl w:val="0"/>
        </w:rPr>
        <w:t xml:space="preserve">Trust.</w:t>
      </w:r>
      <w:r w:rsidDel="00000000" w:rsidR="00000000" w:rsidRPr="00000000">
        <w:rPr>
          <w:rtl w:val="0"/>
        </w:rPr>
        <w:t xml:space="preserve"> “Nursing has been rated the most trusted profession in the United States for more than two decades. That trust is the foundation of the coaching relationship that produces behavior change.”</w:t>
      </w:r>
    </w:p>
    <w:p w:rsidR="00000000" w:rsidDel="00000000" w:rsidP="00000000" w:rsidRDefault="00000000" w:rsidRPr="00000000" w14:paraId="00000025">
      <w:pPr>
        <w:pStyle w:val="Heading1"/>
        <w:rPr/>
      </w:pPr>
      <w:r w:rsidDel="00000000" w:rsidR="00000000" w:rsidRPr="00000000">
        <w:rPr>
          <w:rtl w:val="0"/>
        </w:rPr>
        <w:t xml:space="preserve">Submission checklist</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Personalize every highlighted field, and reword the opening and closing in your own voice.</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Include one real, de-identified patient example. It is the most-read and </w:t>
      </w:r>
      <w:r w:rsidDel="00000000" w:rsidR="00000000" w:rsidRPr="00000000">
        <w:rPr>
          <w:rtl w:val="0"/>
        </w:rPr>
        <w:t xml:space="preserve">important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part of your comment.</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Keep it to one page if you can, and never more than two.</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Submit at </w:t>
      </w:r>
      <w:hyperlink r:id="rId8">
        <w:r w:rsidDel="00000000" w:rsidR="00000000" w:rsidRPr="00000000">
          <w:rPr>
            <w:rFonts w:ascii="Cambria" w:cs="Cambria" w:eastAsia="Cambria" w:hAnsi="Cambria"/>
            <w:b w:val="0"/>
            <w:bCs w:val="0"/>
            <w:i w:val="0"/>
            <w:iCs w:val="0"/>
            <w:smallCaps w:val="0"/>
            <w:strike w:val="0"/>
            <w:color w:val="1155cc"/>
            <w:sz w:val="24"/>
            <w:szCs w:val="24"/>
            <w:u w:val="single"/>
            <w:shd w:fill="auto" w:val="clear"/>
            <w:vertAlign w:val="baseline"/>
            <w:rtl w:val="0"/>
          </w:rPr>
          <w:t xml:space="preserve">www.regulations.gov/docket/CMS-2026-2377</w:t>
        </w:r>
      </w:hyperlink>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referring to file code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CMS-1848-P</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File by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September 14, 2026, 11:59 p.m. ET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Remember that your comment, including your name, becomes part of the public record.</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480"/>
      </w:pPr>
      <w:rPr/>
    </w:lvl>
    <w:lvl w:ilvl="1">
      <w:start w:val="1"/>
      <w:numFmt w:val="decimal"/>
      <w:lvlText w:val="%2."/>
      <w:lvlJc w:val="left"/>
      <w:pPr>
        <w:ind w:left="1440" w:hanging="480"/>
      </w:pPr>
      <w:rPr/>
    </w:lvl>
    <w:lvl w:ilvl="2">
      <w:start w:val="1"/>
      <w:numFmt w:val="decimal"/>
      <w:lvlText w:val="%3."/>
      <w:lvlJc w:val="left"/>
      <w:pPr>
        <w:ind w:left="2160" w:hanging="480"/>
      </w:pPr>
      <w:rPr/>
    </w:lvl>
    <w:lvl w:ilvl="3">
      <w:start w:val="1"/>
      <w:numFmt w:val="decimal"/>
      <w:lvlText w:val="%4."/>
      <w:lvlJc w:val="left"/>
      <w:pPr>
        <w:ind w:left="2880" w:hanging="480"/>
      </w:pPr>
      <w:rPr/>
    </w:lvl>
    <w:lvl w:ilvl="4">
      <w:start w:val="1"/>
      <w:numFmt w:val="decimal"/>
      <w:lvlText w:val="%5."/>
      <w:lvlJc w:val="left"/>
      <w:pPr>
        <w:ind w:left="3600" w:hanging="480"/>
      </w:pPr>
      <w:rPr/>
    </w:lvl>
    <w:lvl w:ilvl="5">
      <w:start w:val="1"/>
      <w:numFmt w:val="decimal"/>
      <w:lvlText w:val="%6."/>
      <w:lvlJc w:val="left"/>
      <w:pPr>
        <w:ind w:left="4320" w:hanging="480"/>
      </w:pPr>
      <w:rPr/>
    </w:lvl>
    <w:lvl w:ilvl="6">
      <w:start w:val="1"/>
      <w:numFmt w:val="decimal"/>
      <w:lvlText w:val="%7."/>
      <w:lvlJc w:val="left"/>
      <w:pPr>
        <w:ind w:left="5040" w:hanging="480"/>
      </w:pPr>
      <w:rPr/>
    </w:lvl>
    <w:lvl w:ilvl="7">
      <w:start w:val="1"/>
      <w:numFmt w:val="decimal"/>
      <w:lvlText w:val="%8."/>
      <w:lvlJc w:val="left"/>
      <w:pPr>
        <w:ind w:left="5760" w:hanging="480"/>
      </w:pPr>
      <w:rPr/>
    </w:lvl>
    <w:lvl w:ilvl="8">
      <w:start w:val="1"/>
      <w:numFmt w:val="decimal"/>
      <w:lvlText w:val="%9."/>
      <w:lvlJc w:val="left"/>
      <w:pPr>
        <w:ind w:left="6480" w:hanging="480"/>
      </w:pPr>
      <w:rPr/>
    </w:lvl>
  </w:abstractNum>
  <w:abstractNum w:abstractNumId="2">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3">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iCs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bCs w:val="1"/>
      <w:color w:val="335b8a"/>
      <w:sz w:val="36"/>
      <w:szCs w:val="36"/>
    </w:rPr>
  </w:style>
  <w:style w:type="paragraph" w:styleId="BodyText">
    <w:name w:val="Body Text"/>
    <w:basedOn w:val="Normal"/>
    <w:link w:val="BodyTextChar"/>
    <w:qFormat w:val="1"/>
    <w:pPr>
      <w:spacing w:after="180" w:before="180"/>
    </w:pPr>
  </w:style>
  <w:style w:type="paragraph" w:styleId="FirstParagraph" w:customStyle="1">
    <w:name w:val="First Paragraph"/>
    <w:basedOn w:val="BodyText"/>
    <w:next w:val="BodyText"/>
    <w:qFormat w:val="1"/>
  </w:style>
  <w:style w:type="paragraph" w:styleId="Compact" w:customStyle="1">
    <w:name w:val="Compact"/>
    <w:basedOn w:val="BodyText"/>
    <w:qFormat w:val="1"/>
    <w:pPr>
      <w:spacing w:after="36" w:before="36"/>
    </w:pPr>
  </w:style>
  <w:style w:type="paragraph" w:styleId="Author" w:customStyle="1">
    <w:name w:val="Author"/>
    <w:next w:val="BodyText"/>
    <w:qFormat w:val="1"/>
    <w:pPr>
      <w:keepNext w:val="1"/>
      <w:keepLines w:val="1"/>
      <w:jc w:val="center"/>
    </w:pPr>
  </w:style>
  <w:style w:type="paragraph" w:styleId="Date">
    <w:name w:val="Date"/>
    <w:next w:val="BodyText"/>
    <w:qFormat w:val="1"/>
    <w:pPr>
      <w:keepNext w:val="1"/>
      <w:keepLines w:val="1"/>
      <w:jc w:val="center"/>
    </w:pPr>
  </w:style>
  <w:style w:type="paragraph" w:styleId="AbstractTitle" w:customStyle="1">
    <w:name w:val="Abstract Title"/>
    <w:basedOn w:val="Normal"/>
    <w:next w:val="Abstract"/>
    <w:qFormat w:val="1"/>
    <w:pPr>
      <w:keepNext w:val="1"/>
      <w:keepLines w:val="1"/>
      <w:spacing w:after="0" w:before="300"/>
      <w:jc w:val="center"/>
    </w:pPr>
    <w:rPr>
      <w:b w:val="1"/>
      <w:color w:val="345a8a"/>
      <w:sz w:val="20"/>
      <w:szCs w:val="20"/>
    </w:rPr>
  </w:style>
  <w:style w:type="paragraph" w:styleId="Abstract" w:customStyle="1">
    <w:name w:val="Abstract"/>
    <w:basedOn w:val="Normal"/>
    <w:next w:val="BodyText"/>
    <w:qFormat w:val="1"/>
    <w:pPr>
      <w:keepNext w:val="1"/>
      <w:keepLines w:val="1"/>
      <w:spacing w:after="300" w:before="100"/>
    </w:pPr>
    <w:rPr>
      <w:sz w:val="20"/>
      <w:szCs w:val="20"/>
    </w:rPr>
  </w:style>
  <w:style w:type="paragraph" w:styleId="Bibliography">
    <w:name w:val="Bibliography"/>
    <w:basedOn w:val="Normal"/>
    <w:next w:val="Bibliography"/>
    <w:qFormat w:val="1"/>
    <w:pPr/>
    <w:rPr/>
  </w:style>
  <w:style w:type="paragraph" w:styleId="Heading7">
    <w:name w:val="Heading 7"/>
    <w:basedOn w:val="Normal"/>
    <w:next w:val="BodyText"/>
    <w:uiPriority w:val="9"/>
    <w:unhideWhenUsed w:val="1"/>
    <w:qFormat w:val="1"/>
    <w:pPr>
      <w:keepNext w:val="1"/>
      <w:keepLines w:val="1"/>
      <w:spacing w:after="0" w:before="200"/>
      <w:outlineLvl w:val="6"/>
    </w:pPr>
    <w:rPr>
      <w:rFonts w:asciiTheme="majorHAnsi" w:cstheme="majorBidi" w:eastAsiaTheme="majorEastAsia" w:hAnsiTheme="majorHAnsi"/>
      <w:color w:val="4f81bd" w:themeColor="accent1"/>
      <w:sz w:val="24"/>
      <w:szCs w:val="24"/>
    </w:rPr>
  </w:style>
  <w:style w:type="paragraph" w:styleId="Heading8">
    <w:name w:val="Heading 8"/>
    <w:basedOn w:val="Normal"/>
    <w:next w:val="BodyText"/>
    <w:uiPriority w:val="9"/>
    <w:unhideWhenUsed w:val="1"/>
    <w:qFormat w:val="1"/>
    <w:pPr>
      <w:keepNext w:val="1"/>
      <w:keepLines w:val="1"/>
      <w:spacing w:after="0" w:before="200"/>
      <w:outlineLvl w:val="7"/>
    </w:pPr>
    <w:rPr>
      <w:rFonts w:asciiTheme="majorHAnsi" w:cstheme="majorBidi" w:eastAsiaTheme="majorEastAsia" w:hAnsiTheme="majorHAnsi"/>
      <w:color w:val="4f81bd" w:themeColor="accent1"/>
      <w:sz w:val="24"/>
      <w:szCs w:val="24"/>
    </w:rPr>
  </w:style>
  <w:style w:type="paragraph" w:styleId="Heading9">
    <w:name w:val="Heading 9"/>
    <w:basedOn w:val="Normal"/>
    <w:next w:val="BodyText"/>
    <w:uiPriority w:val="9"/>
    <w:unhideWhenUsed w:val="1"/>
    <w:qFormat w:val="1"/>
    <w:pPr>
      <w:keepNext w:val="1"/>
      <w:keepLines w:val="1"/>
      <w:spacing w:after="0" w:before="200"/>
      <w:outlineLvl w:val="8"/>
    </w:pPr>
    <w:rPr>
      <w:rFonts w:asciiTheme="majorHAnsi" w:cstheme="majorBidi" w:eastAsiaTheme="majorEastAsia" w:hAnsiTheme="majorHAnsi"/>
      <w:color w:val="4f81bd" w:themeColor="accent1"/>
      <w:sz w:val="24"/>
      <w:szCs w:val="24"/>
    </w:rPr>
  </w:style>
  <w:style w:type="paragraph" w:styleId="BlockText">
    <w:name w:val="Block Text"/>
    <w:basedOn w:val="BodyText"/>
    <w:next w:val="BodyText"/>
    <w:uiPriority w:val="9"/>
    <w:unhideWhenUsed w:val="1"/>
    <w:qFormat w:val="1"/>
    <w:pPr>
      <w:spacing w:after="100" w:before="100"/>
      <w:ind w:left="480" w:right="480" w:firstLine="0"/>
    </w:pPr>
  </w:style>
  <w:style w:type="paragraph" w:styleId="FootnoteText">
    <w:name w:val="Footnote Text"/>
    <w:basedOn w:val="Normal"/>
    <w:next w:val="FootnoteText"/>
    <w:uiPriority w:val="9"/>
    <w:unhideWhenUsed w:val="1"/>
    <w:qFormat w:val="1"/>
  </w:style>
  <w:style w:type="character" w:styleId="DefaultParagraphFont" w:default="1">
    <w:name w:val="Default Paragraph Font"/>
    <w:semiHidden w:val="1"/>
    <w:unhideWhenUsed w:val="1"/>
  </w:style>
  <w:style w:type="table" w:styleId="Table" w:default="1">
    <w:name w:val="Table"/>
    <w:basedOn w:val="TableNormal"/>
    <w:semiHidden w:val="1"/>
    <w:unhideWhenUsed w:val="1"/>
    <w:qFormat w:val="1"/>
    <w:tblPr>
      <w:tblInd w:w="0.0" w:type="dxa"/>
      <w:tblCellMar>
        <w:top w:w="0.0" w:type="dxa"/>
        <w:left w:w="108.0" w:type="dxa"/>
        <w:bottom w:w="0.0" w:type="dxa"/>
        <w:right w:w="108.0" w:type="dxa"/>
      </w:tblCellMar>
    </w:tblPr>
    <w:tblStylePr w:type="firstRow">
      <w:tblPr>
        <w:jc w:val="left"/>
        <w:tblInd w:w="0.0" w:type="dxa"/>
      </w:tblPr>
      <w:trPr>
        <w:jc w:val="left"/>
      </w:trPr>
      <w:tcPr>
        <w:tcBorders>
          <w:bottom w:space="0" w:sz="0" w:val="single"/>
        </w:tcBorders>
        <w:vAlign w:val="bottom"/>
      </w:tcPr>
    </w:tblStyle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aption">
    <w:name w:val="Caption"/>
    <w:basedOn w:val="Normal"/>
    <w:link w:val="BodyTextChar"/>
    <w:pPr>
      <w:spacing w:after="120" w:before="0"/>
    </w:pPr>
    <w:rPr>
      <w:i w:val="1"/>
    </w:rPr>
  </w:style>
  <w:style w:type="paragraph" w:styleId="TableCaption" w:customStyle="1">
    <w:name w:val="Table Caption"/>
    <w:basedOn w:val="Caption"/>
    <w:pPr>
      <w:keepNext w:val="1"/>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val="1"/>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val="1"/>
    <w:qFormat w:val="1"/>
    <w:pPr>
      <w:spacing w:before="240" w:line="259" w:lineRule="auto"/>
      <w:outlineLvl w:val="9"/>
    </w:pPr>
    <w:rPr>
      <w:rFonts w:asciiTheme="majorHAnsi" w:cstheme="majorBidi" w:eastAsiaTheme="majorEastAsia" w:hAnsiTheme="majorHAnsi"/>
      <w:b w:val="0"/>
      <w:bCs w:val="0"/>
      <w:color w:val="365f91" w:themeColor="accent1" w:themeShade="0000BF"/>
    </w:rPr>
  </w:style>
  <w:style w:type="paragraph" w:styleId="SourceCode" w:customStyle="1">
    <w:name w:val="Source Code"/>
    <w:basedOn w:val="Normal"/>
    <w:link w:val="VerbatimChar"/>
    <w:pPr>
      <w:wordWrap w:val="0"/>
    </w:pPr>
  </w:style>
  <w:style w:type="character" w:styleId="KeywordTok" w:customStyle="1">
    <w:name w:val="KeywordTok"/>
    <w:basedOn w:val="VerbatimChar"/>
    <w:rPr>
      <w:b w:val="1"/>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val="1"/>
      <w:color w:val="008000"/>
    </w:rPr>
  </w:style>
  <w:style w:type="character" w:styleId="CommentTok" w:customStyle="1">
    <w:name w:val="CommentTok"/>
    <w:basedOn w:val="VerbatimChar"/>
    <w:rPr>
      <w:i w:val="1"/>
      <w:color w:val="60a0b0"/>
    </w:rPr>
  </w:style>
  <w:style w:type="character" w:styleId="DocumentationTok" w:customStyle="1">
    <w:name w:val="DocumentationTok"/>
    <w:basedOn w:val="VerbatimChar"/>
    <w:rPr>
      <w:i w:val="1"/>
      <w:color w:val="ba2121"/>
    </w:rPr>
  </w:style>
  <w:style w:type="character" w:styleId="AnnotationTok" w:customStyle="1">
    <w:name w:val="AnnotationTok"/>
    <w:basedOn w:val="VerbatimChar"/>
    <w:rPr>
      <w:b w:val="1"/>
      <w:i w:val="1"/>
      <w:color w:val="60a0b0"/>
    </w:rPr>
  </w:style>
  <w:style w:type="character" w:styleId="CommentVarTok" w:customStyle="1">
    <w:name w:val="CommentVarTok"/>
    <w:basedOn w:val="VerbatimChar"/>
    <w:rPr>
      <w:b w:val="1"/>
      <w:i w:val="1"/>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val="1"/>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val="1"/>
      <w:i w:val="1"/>
      <w:color w:val="60a0b0"/>
    </w:rPr>
  </w:style>
  <w:style w:type="character" w:styleId="WarningTok" w:customStyle="1">
    <w:name w:val="WarningTok"/>
    <w:basedOn w:val="VerbatimChar"/>
    <w:rPr>
      <w:b w:val="1"/>
      <w:i w:val="1"/>
      <w:color w:val="60a0b0"/>
    </w:rPr>
  </w:style>
  <w:style w:type="character" w:styleId="AlertTok" w:customStyle="1">
    <w:name w:val="AlertTok"/>
    <w:basedOn w:val="VerbatimChar"/>
    <w:rPr>
      <w:b w:val="1"/>
      <w:color w:val="ff0000"/>
    </w:rPr>
  </w:style>
  <w:style w:type="character" w:styleId="ErrorTok" w:customStyle="1">
    <w:name w:val="ErrorTok"/>
    <w:basedOn w:val="VerbatimChar"/>
    <w:rPr>
      <w:b w:val="1"/>
      <w:color w:val="ff0000"/>
    </w:rPr>
  </w:style>
  <w:style w:type="character" w:styleId="NormalTok" w:customStyle="1">
    <w:name w:val="NormalTok"/>
    <w:basedOn w:val="VerbatimChar"/>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bCs w:val="1"/>
      <w:color w:val="335b8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gulations.gov/docket/CMS-2026-2377" TargetMode="External"/><Relationship Id="rId8" Type="http://schemas.openxmlformats.org/officeDocument/2006/relationships/hyperlink" Target="http://www.regulations.gov/docket/CMS-2026-2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0nantOoDz4Dj3N/2a6zl2K/PNg==">CgMxLjAyD2lkLnBxdDV5djU3NzN1aTgAciExTDJfcUJLVzd1OTUzUi1BS05Vc3dmcVdNMTd6eUVEdW0=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2026-08-11T18:00:51Z</dcterms:created>
</cp:coreProperties>
</file>

<file path=docProps/custom.xml><?xml version="1.0" encoding="utf-8"?>
<Properties xmlns="http://schemas.openxmlformats.org/officeDocument/2006/custom-properties" xmlns:vt="http://schemas.openxmlformats.org/officeDocument/2006/docPropsVTypes"/>
</file>