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8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124"/>
          <w:sz w:val="24"/>
          <w:szCs w:val="24"/>
          <w:rtl w:val="0"/>
        </w:rPr>
        <w:t xml:space="preserve">DIRECTIONS: Please make a copy of this  file in order to edit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In the menu, click File. Make a copy.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Type a name and choose where to save it. ...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Click Ok.</w:t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  <w:color w:val="9999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38"/>
                <w:szCs w:val="38"/>
                <w:u w:val="single"/>
                <w:rtl w:val="0"/>
              </w:rPr>
              <w:t xml:space="preserve">Daily Lesson Plan Template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Tips: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Ensure that differentiated supporters are built into the lesson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Provide students with a choice over how they learn new material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Is homework being used to meaningfully enhance instruction?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Block / Class___________________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Lesson Topic: 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Objectives: 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</w:tc>
      </w:tr>
      <w:tr>
        <w:trPr>
          <w:cantSplit w:val="0"/>
          <w:trHeight w:val="25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Warm up: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Mini Lesson: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Guided Practice: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Independent Practice: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202124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